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F9394">
      <w:pPr>
        <w:spacing w:before="0" w:after="0" w:line="360" w:lineRule="auto"/>
        <w:jc w:val="both"/>
      </w:pPr>
      <w:bookmarkStart w:id="0" w:name="_GoBack"/>
      <w:bookmarkEnd w:id="0"/>
    </w:p>
    <w:p w14:paraId="338F81E0">
      <w:pPr>
        <w:spacing w:before="240" w:after="120" w:line="360" w:lineRule="auto"/>
        <w:jc w:val="center"/>
      </w:pPr>
      <w:r>
        <w:rPr>
          <w:rFonts w:ascii="Times New Roman" w:hAnsi="Times New Roman" w:eastAsia="黑体"/>
          <w:b/>
          <w:sz w:val="36"/>
        </w:rPr>
        <w:t>论文中文题目（黑体，小二，18pt，加粗，居中，不超过20字）</w:t>
      </w:r>
    </w:p>
    <w:p w14:paraId="0F32CDB4">
      <w:pPr>
        <w:spacing w:before="120" w:after="80" w:line="360" w:lineRule="auto"/>
        <w:jc w:val="center"/>
      </w:pPr>
      <w:r>
        <w:rPr>
          <w:rFonts w:ascii="Times New Roman" w:hAnsi="Times New Roman" w:eastAsia="宋体"/>
          <w:b w:val="0"/>
          <w:sz w:val="24"/>
        </w:rPr>
        <w:t>作者一¹，作者二²，作者三¹</w:t>
      </w:r>
    </w:p>
    <w:p w14:paraId="38F8CF18">
      <w:pPr>
        <w:spacing w:before="40" w:after="200" w:line="300" w:lineRule="auto"/>
        <w:jc w:val="center"/>
      </w:pPr>
      <w:r>
        <w:rPr>
          <w:rFonts w:ascii="Times New Roman" w:hAnsi="Times New Roman" w:eastAsia="宋体"/>
          <w:b w:val="0"/>
          <w:sz w:val="18"/>
        </w:rPr>
        <w:t>（1. ××大学 ××学院，北京 100000；2. ××研究院，上海 200000）</w:t>
      </w:r>
    </w:p>
    <w:p w14:paraId="6E91AF97">
      <w:pPr>
        <w:spacing w:before="80" w:after="40" w:line="300" w:lineRule="auto"/>
        <w:ind w:firstLine="0"/>
        <w:jc w:val="both"/>
      </w:pPr>
      <w:r>
        <w:rPr>
          <w:rFonts w:ascii="Times New Roman" w:hAnsi="Times New Roman" w:eastAsia="黑体"/>
          <w:b/>
          <w:sz w:val="18"/>
        </w:rPr>
        <w:t xml:space="preserve">[摘要]  </w:t>
      </w:r>
      <w:r>
        <w:rPr>
          <w:rFonts w:ascii="Times New Roman" w:hAnsi="Times New Roman" w:eastAsia="宋体"/>
          <w:b w:val="0"/>
          <w:sz w:val="18"/>
        </w:rPr>
        <w:t>在此填写中文摘要。摘要应具有独立性和自含性，即不阅读论文全文就能获得必要的信息。摘要内容应涵盖研究目的、研究方法、主要发现和核心结论四个要素，字数控制在300—500字之间。摘要中不使用图、表、化学结构式和非公知公用的符号术语，不引用参考文献。本文以亚洲社会创新与发展为研究视域，探讨……（此处为示例占位，请替换为实际摘要内容）。</w:t>
      </w:r>
    </w:p>
    <w:p w14:paraId="70170630">
      <w:pPr>
        <w:spacing w:before="40" w:after="40" w:line="300" w:lineRule="auto"/>
        <w:ind w:firstLine="0"/>
        <w:jc w:val="both"/>
      </w:pPr>
      <w:r>
        <w:rPr>
          <w:rFonts w:ascii="Times New Roman" w:hAnsi="Times New Roman" w:eastAsia="黑体"/>
          <w:b/>
          <w:sz w:val="18"/>
        </w:rPr>
        <w:t xml:space="preserve">[关键词]  </w:t>
      </w:r>
      <w:r>
        <w:rPr>
          <w:rFonts w:ascii="Times New Roman" w:hAnsi="Times New Roman" w:eastAsia="宋体"/>
          <w:b w:val="0"/>
          <w:sz w:val="18"/>
        </w:rPr>
        <w:t>关键词1；关键词2；关键词3；关键词4；关键词5</w:t>
      </w:r>
    </w:p>
    <w:p w14:paraId="2E5EDCB6">
      <w:pPr>
        <w:spacing w:before="40" w:after="240" w:line="300" w:lineRule="auto"/>
        <w:ind w:firstLine="0"/>
        <w:jc w:val="left"/>
      </w:pPr>
      <w:r>
        <w:rPr>
          <w:rFonts w:ascii="Times New Roman" w:hAnsi="Times New Roman" w:eastAsia="黑体"/>
          <w:b/>
          <w:sz w:val="18"/>
        </w:rPr>
        <w:t>DOI:</w:t>
      </w:r>
      <w:r>
        <w:rPr>
          <w:rFonts w:ascii="Times New Roman" w:hAnsi="Times New Roman" w:eastAsia="宋体"/>
          <w:b w:val="0"/>
          <w:sz w:val="18"/>
        </w:rPr>
        <w:t>10.XXXX/asid.2026.01.001</w:t>
      </w:r>
    </w:p>
    <w:p w14:paraId="021F3B30">
      <w:pPr>
        <w:spacing w:before="240" w:after="120" w:line="360" w:lineRule="auto"/>
        <w:jc w:val="center"/>
        <w:outlineLvl w:val="0"/>
      </w:pPr>
      <w:r>
        <w:rPr>
          <w:rFonts w:ascii="Times New Roman" w:hAnsi="Times New Roman" w:eastAsia="黑体"/>
          <w:b/>
          <w:sz w:val="28"/>
        </w:rPr>
        <w:t>一、引言（一级标题：黑体，四号，14pt，加粗，居中）</w:t>
      </w:r>
    </w:p>
    <w:p w14:paraId="6D824A3B">
      <w:pPr>
        <w:spacing w:before="0" w:after="0" w:line="360" w:lineRule="auto"/>
        <w:ind w:firstLine="480"/>
        <w:jc w:val="both"/>
      </w:pPr>
      <w:r>
        <w:rPr>
          <w:rFonts w:ascii="Times New Roman" w:hAnsi="Times New Roman" w:eastAsia="宋体"/>
          <w:b w:val="0"/>
          <w:sz w:val="24"/>
        </w:rPr>
        <w:t>正文采用宋体小四（12pt），1.5目标、通过新的合作方式与组织形态创造社会价值的过程。近年来，亚洲地区在社会企业发倍行距，首行缩进2字符，两端对齐。社会创新（Social Innovation）是指以满足社会需求为展、社区治理创新、普惠金融、可持续发展等领域涌现出大量实践案例，为社会创新理论提供了丰富的经验素材。本文旨在……（以下为正文示例占位内容，请替换为实际论文内容）。</w:t>
      </w:r>
    </w:p>
    <w:p w14:paraId="017DD0C9">
      <w:pPr>
        <w:spacing w:before="0" w:after="0" w:line="360" w:lineRule="auto"/>
        <w:ind w:firstLine="480"/>
        <w:jc w:val="both"/>
      </w:pPr>
      <w:r>
        <w:rPr>
          <w:rFonts w:ascii="Times New Roman" w:hAnsi="Times New Roman" w:eastAsia="宋体"/>
          <w:b w:val="0"/>
          <w:sz w:val="24"/>
        </w:rPr>
        <w:t>文献引用采用顺序编码制，在正文引用处按文献出现先后以方括号阿拉伯数字标注（如[1][2]），建议采用上标格式。多篇连续文献标注为[1-3]，非连续文献标注为[1,3,5]。参考文献列表按正文引用顺序排列。示例：已有研究表明社会创新在亚洲语境下呈现出独特的路径依赖特征[1-2]。当作者姓名出现在正文中时，格式为：王某某等[3]指出……。同一文献多次引用时使用同一编号。</w:t>
      </w:r>
    </w:p>
    <w:p w14:paraId="21F2D9D9">
      <w:pPr>
        <w:widowControl/>
        <w:spacing w:before="200" w:after="80" w:line="360" w:lineRule="auto"/>
        <w:jc w:val="left"/>
        <w:outlineLvl w:val="1"/>
      </w:pPr>
      <w:r>
        <w:rPr>
          <w:rFonts w:ascii="Times New Roman" w:hAnsi="Times New Roman" w:eastAsia="黑体"/>
          <w:b/>
          <w:sz w:val="24"/>
        </w:rPr>
        <w:t>（一）研究背景与问题提出（二级标题：黑体，小四，12pt，加粗，左对齐，不缩进）</w:t>
      </w:r>
    </w:p>
    <w:p w14:paraId="7A9E8095">
      <w:pPr>
        <w:spacing w:before="0" w:after="0" w:line="360" w:lineRule="auto"/>
        <w:ind w:firstLine="480"/>
        <w:jc w:val="both"/>
      </w:pPr>
      <w:r>
        <w:rPr>
          <w:rFonts w:ascii="Times New Roman" w:hAnsi="Times New Roman" w:eastAsia="宋体"/>
          <w:b w:val="0"/>
          <w:sz w:val="24"/>
        </w:rPr>
        <w:t>二级标题下的正文格式与一级标题下一致。亚洲社会创新和发展领域的研究需要关注本土文化制度环境与全球社会创新话语之间的张力。本部分应系统梳理研究背景，明确提出研究问题。</w:t>
      </w:r>
    </w:p>
    <w:p w14:paraId="266C6646">
      <w:pPr>
        <w:spacing w:before="160" w:after="40" w:line="360" w:lineRule="auto"/>
        <w:ind w:firstLine="480"/>
        <w:jc w:val="left"/>
        <w:rPr>
          <w:rFonts w:ascii="Times New Roman" w:hAnsi="Times New Roman" w:eastAsia="宋体"/>
          <w:b/>
          <w:sz w:val="24"/>
        </w:rPr>
      </w:pPr>
    </w:p>
    <w:p w14:paraId="2E3E76D9">
      <w:pPr>
        <w:spacing w:before="160" w:after="40" w:line="360" w:lineRule="auto"/>
        <w:ind w:firstLine="480"/>
        <w:jc w:val="left"/>
        <w:rPr>
          <w:rFonts w:ascii="Times New Roman" w:hAnsi="Times New Roman" w:eastAsia="宋体"/>
          <w:b/>
          <w:sz w:val="24"/>
        </w:rPr>
      </w:pPr>
    </w:p>
    <w:p w14:paraId="6F0D7DDA">
      <w:pPr>
        <w:widowControl/>
        <w:spacing w:before="0" w:after="0" w:line="360" w:lineRule="auto"/>
        <w:ind w:firstLine="480"/>
        <w:jc w:val="both"/>
      </w:pPr>
      <w:r>
        <w:rPr>
          <w:rFonts w:ascii="Times New Roman" w:hAnsi="Times New Roman" w:eastAsia="宋体"/>
          <w:b/>
          <w:sz w:val="24"/>
        </w:rPr>
        <w:t>1. 社会创新的概念演进（三级标题：宋体，小四，12pt，加粗，首行缩进2字符）</w:t>
      </w:r>
    </w:p>
    <w:p w14:paraId="7B3C41BD">
      <w:pPr>
        <w:spacing w:before="0" w:after="0" w:line="360" w:lineRule="auto"/>
        <w:ind w:firstLine="480"/>
        <w:jc w:val="both"/>
      </w:pPr>
      <w:r>
        <w:rPr>
          <w:rFonts w:ascii="Times New Roman" w:hAnsi="Times New Roman" w:eastAsia="宋体"/>
          <w:b w:val="0"/>
          <w:sz w:val="24"/>
        </w:rPr>
        <w:t>三级标题下的正文同样使用宋体小四。社会创新概念经历了从狭义的技术创新扩散到广义的社会价值创造的演变。Pol和Ville[4]将社会创新定义为……</w:t>
      </w:r>
    </w:p>
    <w:p w14:paraId="1EF8759A">
      <w:pPr>
        <w:widowControl/>
        <w:spacing w:before="120" w:after="40" w:line="360" w:lineRule="auto"/>
        <w:ind w:firstLine="480" w:firstLineChars="0"/>
        <w:jc w:val="left"/>
        <w:outlineLvl w:val="3"/>
      </w:pPr>
      <w:r>
        <w:rPr>
          <w:rFonts w:ascii="Times New Roman" w:hAnsi="Times New Roman" w:eastAsia="宋体"/>
          <w:b/>
          <w:sz w:val="24"/>
        </w:rPr>
        <w:t>（1）亚洲语境下的社会创新（四级标题：宋体，小四，12pt，加粗，首行缩进2字符）</w:t>
      </w:r>
    </w:p>
    <w:p w14:paraId="47EF5F85">
      <w:pPr>
        <w:spacing w:before="0" w:after="0" w:line="360" w:lineRule="auto"/>
        <w:ind w:firstLine="480"/>
        <w:jc w:val="both"/>
      </w:pPr>
      <w:r>
        <w:rPr>
          <w:rFonts w:ascii="Times New Roman" w:hAnsi="Times New Roman" w:eastAsia="宋体"/>
          <w:b w:val="0"/>
          <w:sz w:val="24"/>
        </w:rPr>
        <w:t>四级标题下正文格式不变。亚洲国家的社会创新实践深受儒家文化、集体主义传统和发展型国家模式影响，与西方语境下的社会创新存在显著差异。</w:t>
      </w:r>
    </w:p>
    <w:p w14:paraId="685D86F7">
      <w:pPr>
        <w:spacing w:before="280" w:after="120" w:line="360" w:lineRule="auto"/>
        <w:jc w:val="center"/>
        <w:outlineLvl w:val="0"/>
      </w:pPr>
      <w:r>
        <w:rPr>
          <w:rFonts w:ascii="Times New Roman" w:hAnsi="Times New Roman" w:eastAsia="黑体"/>
          <w:b/>
          <w:sz w:val="28"/>
        </w:rPr>
        <w:t>二、文献综述</w:t>
      </w:r>
    </w:p>
    <w:p w14:paraId="0D6B13BA">
      <w:pPr>
        <w:spacing w:before="200" w:after="80" w:line="360" w:lineRule="auto"/>
        <w:jc w:val="left"/>
        <w:outlineLvl w:val="1"/>
      </w:pPr>
      <w:r>
        <w:rPr>
          <w:rFonts w:ascii="Times New Roman" w:hAnsi="Times New Roman" w:eastAsia="黑体"/>
          <w:b/>
          <w:sz w:val="24"/>
        </w:rPr>
        <w:t>（一）社会创新理论研究进展</w:t>
      </w:r>
    </w:p>
    <w:p w14:paraId="163BCBC1">
      <w:pPr>
        <w:spacing w:before="0" w:after="0" w:line="360" w:lineRule="auto"/>
        <w:ind w:firstLine="480"/>
        <w:jc w:val="both"/>
      </w:pPr>
      <w:r>
        <w:rPr>
          <w:rFonts w:ascii="Times New Roman" w:hAnsi="Times New Roman" w:eastAsia="宋体"/>
          <w:b w:val="0"/>
          <w:sz w:val="24"/>
        </w:rPr>
        <w:t>文献综述部分应系统梳理国内外相关研究，指出已有研究的贡献与不足，明确本文的研究定位和理论贡献。综述不应是文献的简单罗列，而应围绕研究问题进行批判性整合。</w:t>
      </w:r>
    </w:p>
    <w:p w14:paraId="7E69986B">
      <w:pPr>
        <w:spacing w:before="280" w:after="120" w:line="360" w:lineRule="auto"/>
        <w:jc w:val="center"/>
        <w:outlineLvl w:val="0"/>
      </w:pPr>
      <w:r>
        <w:rPr>
          <w:rFonts w:ascii="Times New Roman" w:hAnsi="Times New Roman" w:eastAsia="黑体"/>
          <w:b/>
          <w:sz w:val="28"/>
        </w:rPr>
        <w:t>三、研究设计与方法</w:t>
      </w:r>
    </w:p>
    <w:p w14:paraId="15190B26">
      <w:pPr>
        <w:spacing w:before="200" w:after="80" w:line="360" w:lineRule="auto"/>
        <w:jc w:val="left"/>
        <w:outlineLvl w:val="1"/>
      </w:pPr>
      <w:r>
        <w:rPr>
          <w:rFonts w:ascii="Times New Roman" w:hAnsi="Times New Roman" w:eastAsia="黑体"/>
          <w:b/>
          <w:sz w:val="24"/>
        </w:rPr>
        <w:t>（一）研究框架</w:t>
      </w:r>
    </w:p>
    <w:p w14:paraId="106238FD">
      <w:pPr>
        <w:spacing w:before="0" w:after="0" w:line="360" w:lineRule="auto"/>
        <w:ind w:firstLine="480"/>
        <w:jc w:val="both"/>
      </w:pPr>
      <w:r>
        <w:rPr>
          <w:rFonts w:ascii="Times New Roman" w:hAnsi="Times New Roman" w:eastAsia="宋体"/>
          <w:b w:val="0"/>
          <w:sz w:val="24"/>
        </w:rPr>
        <w:t>本研究构建了"制度环境—组织能力—社会价值创造"的分析框架……</w:t>
      </w:r>
    </w:p>
    <w:p w14:paraId="7B73A055">
      <w:pPr>
        <w:spacing w:before="120" w:after="80" w:line="300" w:lineRule="auto"/>
        <w:jc w:val="center"/>
        <w:rPr>
          <w:rFonts w:hint="default" w:ascii="Cambria" w:hAnsi="Cambria" w:eastAsia="等线" w:cs="Cambria"/>
          <w:lang w:eastAsia="zh-CN"/>
        </w:rPr>
      </w:pPr>
      <w:r>
        <w:rPr>
          <w:rFonts w:hint="default" w:ascii="Cambria" w:hAnsi="Cambria" w:eastAsia="等线" w:cs="Cambria"/>
          <w:lang w:eastAsia="zh-CN"/>
        </w:rPr>
        <w:drawing>
          <wp:inline distT="0" distB="0" distL="114300" distR="114300">
            <wp:extent cx="3385820" cy="795655"/>
            <wp:effectExtent l="0" t="0" r="5080" b="4445"/>
            <wp:docPr id="1" name="图片 1" descr="F:/桌面/AJSID'/logo.p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桌面/AJSID'/logo.pnglogo"/>
                    <pic:cNvPicPr>
                      <a:picLocks noChangeAspect="1"/>
                    </pic:cNvPicPr>
                  </pic:nvPicPr>
                  <pic:blipFill>
                    <a:blip r:embed="rId8"/>
                    <a:srcRect t="5431" b="5431"/>
                    <a:stretch>
                      <a:fillRect/>
                    </a:stretch>
                  </pic:blipFill>
                  <pic:spPr>
                    <a:xfrm>
                      <a:off x="0" y="0"/>
                      <a:ext cx="3385820" cy="795655"/>
                    </a:xfrm>
                    <a:prstGeom prst="rect">
                      <a:avLst/>
                    </a:prstGeom>
                    <a:noFill/>
                    <a:ln>
                      <a:noFill/>
                    </a:ln>
                  </pic:spPr>
                </pic:pic>
              </a:graphicData>
            </a:graphic>
          </wp:inline>
        </w:drawing>
      </w:r>
    </w:p>
    <w:p w14:paraId="36D22C0E">
      <w:pPr>
        <w:spacing w:before="120" w:after="80" w:line="300" w:lineRule="auto"/>
        <w:jc w:val="center"/>
        <w:rPr>
          <w:rFonts w:hint="default" w:ascii="Cambria" w:hAnsi="Cambria" w:eastAsia="等线" w:cs="Cambria"/>
          <w:lang w:eastAsia="zh-CN"/>
        </w:rPr>
      </w:pPr>
      <w:r>
        <w:rPr>
          <w:rFonts w:ascii="Times New Roman" w:hAnsi="Times New Roman" w:eastAsia="宋体"/>
          <w:b w:val="0"/>
          <w:sz w:val="21"/>
        </w:rPr>
        <w:t>图1  研究分析框架图</w:t>
      </w:r>
    </w:p>
    <w:p w14:paraId="3FF5B776">
      <w:pPr>
        <w:spacing w:before="0" w:after="160" w:line="300" w:lineRule="auto"/>
        <w:jc w:val="center"/>
      </w:pPr>
      <w:r>
        <w:rPr>
          <w:rFonts w:ascii="Times New Roman" w:hAnsi="Times New Roman" w:eastAsia="楷体"/>
          <w:b w:val="0"/>
          <w:sz w:val="18"/>
        </w:rPr>
        <w:t>此处插入图1。图题置于图下方居中，宋体五号10.5pt。图中文字不小于小五号。图宽不超过版心宽度16cm。分辨率不低于300dpi。</w:t>
      </w:r>
    </w:p>
    <w:p w14:paraId="3BAD96AC">
      <w:pPr>
        <w:spacing w:before="200" w:after="80" w:line="360" w:lineRule="auto"/>
        <w:jc w:val="left"/>
        <w:outlineLvl w:val="1"/>
      </w:pPr>
      <w:r>
        <w:rPr>
          <w:rFonts w:ascii="Times New Roman" w:hAnsi="Times New Roman" w:eastAsia="黑体"/>
          <w:b/>
          <w:sz w:val="24"/>
        </w:rPr>
        <w:t>（二）数据来源与样本选择</w:t>
      </w:r>
    </w:p>
    <w:p w14:paraId="168A350B">
      <w:pPr>
        <w:spacing w:before="0" w:after="0" w:line="360" w:lineRule="auto"/>
        <w:ind w:firstLine="480"/>
        <w:jc w:val="both"/>
      </w:pPr>
      <w:r>
        <w:rPr>
          <w:rFonts w:ascii="Times New Roman" w:hAnsi="Times New Roman" w:eastAsia="宋体"/>
          <w:b w:val="0"/>
          <w:sz w:val="24"/>
        </w:rPr>
        <w:t>本研究采用2018—2023年亚洲×个国家（地区）的面板数据，数据来源于……实证研究论文应详细说明数据来源、样本选择标准、变量定义和测量方式。</w:t>
      </w:r>
    </w:p>
    <w:p w14:paraId="061A5817">
      <w:pPr>
        <w:spacing w:before="160" w:after="80" w:line="300" w:lineRule="auto"/>
        <w:jc w:val="center"/>
      </w:pPr>
      <w:r>
        <w:rPr>
          <w:rFonts w:ascii="Times New Roman" w:hAnsi="Times New Roman" w:eastAsia="宋体"/>
          <w:b w:val="0"/>
          <w:sz w:val="21"/>
        </w:rPr>
        <w:t>表1  主要变量定义与描述性统计</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1814"/>
        <w:gridCol w:w="1814"/>
        <w:gridCol w:w="1814"/>
        <w:gridCol w:w="1814"/>
      </w:tblGrid>
      <w:tr w14:paraId="0DE6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single" w:color="000000" w:sz="12" w:space="0"/>
              <w:left w:val="nil"/>
              <w:bottom w:val="single" w:color="000000" w:sz="4" w:space="0"/>
              <w:right w:val="nil"/>
              <w:tl2br w:val="nil"/>
            </w:tcBorders>
            <w:shd w:val="clear" w:color="auto" w:fill="FFFFFF"/>
          </w:tcPr>
          <w:p w14:paraId="3144FD59">
            <w:pPr>
              <w:spacing w:after="0" w:line="240" w:lineRule="auto"/>
              <w:jc w:val="center"/>
              <w:rPr>
                <w:b w:val="0"/>
                <w:color w:val="000000"/>
              </w:rPr>
            </w:pPr>
            <w:r>
              <w:rPr>
                <w:rFonts w:ascii="Times New Roman" w:hAnsi="Times New Roman" w:eastAsia="宋体"/>
                <w:b w:val="0"/>
                <w:color w:val="000000"/>
                <w:sz w:val="21"/>
              </w:rPr>
              <w:t>变量</w:t>
            </w:r>
          </w:p>
        </w:tc>
        <w:tc>
          <w:tcPr>
            <w:tcW w:w="1814" w:type="dxa"/>
            <w:tcBorders>
              <w:top w:val="single" w:color="000000" w:sz="12" w:space="0"/>
              <w:left w:val="nil"/>
              <w:bottom w:val="single" w:color="000000" w:sz="4" w:space="0"/>
              <w:right w:val="nil"/>
            </w:tcBorders>
            <w:shd w:val="clear" w:color="auto" w:fill="FFFFFF"/>
          </w:tcPr>
          <w:p w14:paraId="11F2A6F7">
            <w:pPr>
              <w:spacing w:after="0" w:line="240" w:lineRule="auto"/>
              <w:jc w:val="center"/>
              <w:rPr>
                <w:b w:val="0"/>
                <w:color w:val="000000"/>
              </w:rPr>
            </w:pPr>
            <w:r>
              <w:rPr>
                <w:rFonts w:ascii="Times New Roman" w:hAnsi="Times New Roman" w:eastAsia="宋体"/>
                <w:b w:val="0"/>
                <w:color w:val="000000"/>
                <w:sz w:val="21"/>
              </w:rPr>
              <w:t>符号</w:t>
            </w:r>
          </w:p>
        </w:tc>
        <w:tc>
          <w:tcPr>
            <w:tcW w:w="1814" w:type="dxa"/>
            <w:tcBorders>
              <w:top w:val="single" w:color="000000" w:sz="12" w:space="0"/>
              <w:left w:val="nil"/>
              <w:bottom w:val="single" w:color="000000" w:sz="4" w:space="0"/>
              <w:right w:val="nil"/>
            </w:tcBorders>
            <w:shd w:val="clear" w:color="auto" w:fill="FFFFFF"/>
          </w:tcPr>
          <w:p w14:paraId="2D8F51AA">
            <w:pPr>
              <w:spacing w:after="0" w:line="240" w:lineRule="auto"/>
              <w:jc w:val="center"/>
              <w:rPr>
                <w:b w:val="0"/>
                <w:color w:val="000000"/>
              </w:rPr>
            </w:pPr>
            <w:r>
              <w:rPr>
                <w:rFonts w:ascii="Times New Roman" w:hAnsi="Times New Roman" w:eastAsia="宋体"/>
                <w:b w:val="0"/>
                <w:color w:val="000000"/>
                <w:sz w:val="21"/>
              </w:rPr>
              <w:t>均值</w:t>
            </w:r>
          </w:p>
        </w:tc>
        <w:tc>
          <w:tcPr>
            <w:tcW w:w="1814" w:type="dxa"/>
            <w:tcBorders>
              <w:top w:val="single" w:color="000000" w:sz="12" w:space="0"/>
              <w:left w:val="nil"/>
              <w:bottom w:val="single" w:color="000000" w:sz="4" w:space="0"/>
              <w:right w:val="nil"/>
            </w:tcBorders>
            <w:shd w:val="clear" w:color="auto" w:fill="FFFFFF"/>
          </w:tcPr>
          <w:p w14:paraId="37907E15">
            <w:pPr>
              <w:spacing w:after="0" w:line="240" w:lineRule="auto"/>
              <w:jc w:val="center"/>
              <w:rPr>
                <w:b w:val="0"/>
                <w:color w:val="000000"/>
              </w:rPr>
            </w:pPr>
            <w:r>
              <w:rPr>
                <w:rFonts w:ascii="Times New Roman" w:hAnsi="Times New Roman" w:eastAsia="宋体"/>
                <w:b w:val="0"/>
                <w:color w:val="000000"/>
                <w:sz w:val="21"/>
              </w:rPr>
              <w:t>标准差</w:t>
            </w:r>
          </w:p>
        </w:tc>
        <w:tc>
          <w:tcPr>
            <w:tcW w:w="1814" w:type="dxa"/>
            <w:tcBorders>
              <w:top w:val="single" w:color="000000" w:sz="12" w:space="0"/>
              <w:left w:val="nil"/>
              <w:bottom w:val="single" w:color="000000" w:sz="4" w:space="0"/>
              <w:right w:val="nil"/>
            </w:tcBorders>
            <w:shd w:val="clear" w:color="auto" w:fill="FFFFFF"/>
          </w:tcPr>
          <w:p w14:paraId="022C4F81">
            <w:pPr>
              <w:spacing w:after="0" w:line="240" w:lineRule="auto"/>
              <w:jc w:val="center"/>
              <w:rPr>
                <w:b w:val="0"/>
                <w:color w:val="000000"/>
              </w:rPr>
            </w:pPr>
            <w:r>
              <w:rPr>
                <w:rFonts w:ascii="Times New Roman" w:hAnsi="Times New Roman" w:eastAsia="宋体"/>
                <w:b w:val="0"/>
                <w:color w:val="000000"/>
                <w:sz w:val="21"/>
              </w:rPr>
              <w:t>观测值</w:t>
            </w:r>
          </w:p>
        </w:tc>
      </w:tr>
      <w:tr w14:paraId="57E3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single" w:color="000000" w:sz="4" w:space="0"/>
              <w:left w:val="nil"/>
              <w:bottom w:val="nil"/>
              <w:right w:val="nil"/>
            </w:tcBorders>
            <w:shd w:val="clear" w:color="auto" w:fill="FFFFFF"/>
          </w:tcPr>
          <w:p w14:paraId="735B69C2">
            <w:pPr>
              <w:spacing w:after="0" w:line="240" w:lineRule="auto"/>
              <w:jc w:val="center"/>
              <w:rPr>
                <w:b w:val="0"/>
                <w:color w:val="000000"/>
              </w:rPr>
            </w:pPr>
            <w:r>
              <w:rPr>
                <w:rFonts w:ascii="Times New Roman" w:hAnsi="Times New Roman" w:eastAsia="宋体"/>
                <w:b w:val="0"/>
                <w:color w:val="000000"/>
                <w:sz w:val="21"/>
              </w:rPr>
              <w:t>社会创新指数</w:t>
            </w:r>
          </w:p>
        </w:tc>
        <w:tc>
          <w:tcPr>
            <w:tcW w:w="1814" w:type="dxa"/>
            <w:tcBorders>
              <w:top w:val="single" w:color="000000" w:sz="4" w:space="0"/>
              <w:left w:val="nil"/>
              <w:bottom w:val="nil"/>
              <w:right w:val="nil"/>
            </w:tcBorders>
            <w:shd w:val="clear" w:color="auto" w:fill="FFFFFF"/>
          </w:tcPr>
          <w:p w14:paraId="0D9A2210">
            <w:pPr>
              <w:spacing w:after="0" w:line="240" w:lineRule="auto"/>
              <w:jc w:val="center"/>
              <w:rPr>
                <w:b w:val="0"/>
                <w:color w:val="000000"/>
              </w:rPr>
            </w:pPr>
            <w:r>
              <w:rPr>
                <w:rFonts w:ascii="Times New Roman" w:hAnsi="Times New Roman" w:eastAsia="宋体"/>
                <w:b w:val="0"/>
                <w:color w:val="000000"/>
                <w:sz w:val="21"/>
              </w:rPr>
              <w:t>SI</w:t>
            </w:r>
          </w:p>
        </w:tc>
        <w:tc>
          <w:tcPr>
            <w:tcW w:w="1814" w:type="dxa"/>
            <w:tcBorders>
              <w:top w:val="single" w:color="000000" w:sz="4" w:space="0"/>
              <w:left w:val="nil"/>
              <w:bottom w:val="nil"/>
              <w:right w:val="nil"/>
            </w:tcBorders>
            <w:shd w:val="clear" w:color="auto" w:fill="FFFFFF"/>
          </w:tcPr>
          <w:p w14:paraId="1172FC44">
            <w:pPr>
              <w:spacing w:after="0" w:line="240" w:lineRule="auto"/>
              <w:jc w:val="center"/>
              <w:rPr>
                <w:b w:val="0"/>
                <w:color w:val="000000"/>
              </w:rPr>
            </w:pPr>
            <w:r>
              <w:rPr>
                <w:rFonts w:ascii="Times New Roman" w:hAnsi="Times New Roman" w:eastAsia="宋体"/>
                <w:b w:val="0"/>
                <w:color w:val="000000"/>
                <w:sz w:val="21"/>
              </w:rPr>
              <w:t>3.52</w:t>
            </w:r>
          </w:p>
        </w:tc>
        <w:tc>
          <w:tcPr>
            <w:tcW w:w="1814" w:type="dxa"/>
            <w:tcBorders>
              <w:top w:val="single" w:color="000000" w:sz="4" w:space="0"/>
              <w:left w:val="nil"/>
              <w:bottom w:val="nil"/>
              <w:right w:val="nil"/>
            </w:tcBorders>
            <w:shd w:val="clear" w:color="auto" w:fill="FFFFFF"/>
          </w:tcPr>
          <w:p w14:paraId="2D80F37E">
            <w:pPr>
              <w:spacing w:after="0" w:line="240" w:lineRule="auto"/>
              <w:jc w:val="center"/>
              <w:rPr>
                <w:b w:val="0"/>
                <w:color w:val="000000"/>
              </w:rPr>
            </w:pPr>
            <w:r>
              <w:rPr>
                <w:rFonts w:ascii="Times New Roman" w:hAnsi="Times New Roman" w:eastAsia="宋体"/>
                <w:b w:val="0"/>
                <w:color w:val="000000"/>
                <w:sz w:val="21"/>
              </w:rPr>
              <w:t>0.87</w:t>
            </w:r>
          </w:p>
        </w:tc>
        <w:tc>
          <w:tcPr>
            <w:tcW w:w="1814" w:type="dxa"/>
            <w:tcBorders>
              <w:top w:val="single" w:color="000000" w:sz="4" w:space="0"/>
              <w:left w:val="nil"/>
              <w:bottom w:val="nil"/>
              <w:right w:val="nil"/>
            </w:tcBorders>
            <w:shd w:val="clear" w:color="auto" w:fill="FFFFFF"/>
          </w:tcPr>
          <w:p w14:paraId="1DD52827">
            <w:pPr>
              <w:spacing w:after="0" w:line="240" w:lineRule="auto"/>
              <w:jc w:val="center"/>
              <w:rPr>
                <w:b w:val="0"/>
                <w:color w:val="000000"/>
              </w:rPr>
            </w:pPr>
            <w:r>
              <w:rPr>
                <w:rFonts w:ascii="Times New Roman" w:hAnsi="Times New Roman" w:eastAsia="宋体"/>
                <w:b w:val="0"/>
                <w:color w:val="000000"/>
                <w:sz w:val="21"/>
              </w:rPr>
              <w:t>1250</w:t>
            </w:r>
          </w:p>
        </w:tc>
      </w:tr>
      <w:tr w14:paraId="2531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nil"/>
              <w:left w:val="nil"/>
              <w:bottom w:val="nil"/>
              <w:right w:val="nil"/>
            </w:tcBorders>
            <w:shd w:val="clear" w:color="auto" w:fill="FFFFFF"/>
          </w:tcPr>
          <w:p w14:paraId="290271D8">
            <w:pPr>
              <w:spacing w:after="0" w:line="240" w:lineRule="auto"/>
              <w:jc w:val="center"/>
              <w:rPr>
                <w:b w:val="0"/>
                <w:color w:val="000000"/>
              </w:rPr>
            </w:pPr>
            <w:r>
              <w:rPr>
                <w:rFonts w:ascii="Times New Roman" w:hAnsi="Times New Roman" w:eastAsia="宋体"/>
                <w:b w:val="0"/>
                <w:color w:val="000000"/>
                <w:sz w:val="21"/>
              </w:rPr>
              <w:t>制度质量</w:t>
            </w:r>
          </w:p>
        </w:tc>
        <w:tc>
          <w:tcPr>
            <w:tcW w:w="1814" w:type="dxa"/>
            <w:tcBorders>
              <w:top w:val="nil"/>
              <w:left w:val="nil"/>
              <w:bottom w:val="nil"/>
              <w:right w:val="nil"/>
            </w:tcBorders>
            <w:shd w:val="clear" w:color="auto" w:fill="FFFFFF"/>
          </w:tcPr>
          <w:p w14:paraId="0739A9DD">
            <w:pPr>
              <w:spacing w:after="0" w:line="240" w:lineRule="auto"/>
              <w:jc w:val="center"/>
              <w:rPr>
                <w:b w:val="0"/>
                <w:color w:val="000000"/>
              </w:rPr>
            </w:pPr>
            <w:r>
              <w:rPr>
                <w:rFonts w:ascii="Times New Roman" w:hAnsi="Times New Roman" w:eastAsia="宋体"/>
                <w:b w:val="0"/>
                <w:color w:val="000000"/>
                <w:sz w:val="21"/>
              </w:rPr>
              <w:t>IQ</w:t>
            </w:r>
          </w:p>
        </w:tc>
        <w:tc>
          <w:tcPr>
            <w:tcW w:w="1814" w:type="dxa"/>
            <w:tcBorders>
              <w:top w:val="nil"/>
              <w:left w:val="nil"/>
              <w:bottom w:val="nil"/>
              <w:right w:val="nil"/>
            </w:tcBorders>
            <w:shd w:val="clear" w:color="auto" w:fill="FFFFFF"/>
          </w:tcPr>
          <w:p w14:paraId="466F0617">
            <w:pPr>
              <w:spacing w:after="0" w:line="240" w:lineRule="auto"/>
              <w:jc w:val="center"/>
              <w:rPr>
                <w:b w:val="0"/>
                <w:color w:val="000000"/>
              </w:rPr>
            </w:pPr>
            <w:r>
              <w:rPr>
                <w:rFonts w:ascii="Times New Roman" w:hAnsi="Times New Roman" w:eastAsia="宋体"/>
                <w:b w:val="0"/>
                <w:color w:val="000000"/>
                <w:sz w:val="21"/>
              </w:rPr>
              <w:t>2.98</w:t>
            </w:r>
          </w:p>
        </w:tc>
        <w:tc>
          <w:tcPr>
            <w:tcW w:w="1814" w:type="dxa"/>
            <w:tcBorders>
              <w:top w:val="nil"/>
              <w:left w:val="nil"/>
              <w:bottom w:val="nil"/>
              <w:right w:val="nil"/>
            </w:tcBorders>
            <w:shd w:val="clear" w:color="auto" w:fill="FFFFFF"/>
          </w:tcPr>
          <w:p w14:paraId="1EE3D0B3">
            <w:pPr>
              <w:spacing w:after="0" w:line="240" w:lineRule="auto"/>
              <w:jc w:val="center"/>
              <w:rPr>
                <w:b w:val="0"/>
                <w:color w:val="000000"/>
              </w:rPr>
            </w:pPr>
            <w:r>
              <w:rPr>
                <w:rFonts w:ascii="Times New Roman" w:hAnsi="Times New Roman" w:eastAsia="宋体"/>
                <w:b w:val="0"/>
                <w:color w:val="000000"/>
                <w:sz w:val="21"/>
              </w:rPr>
              <w:t>0.65</w:t>
            </w:r>
          </w:p>
        </w:tc>
        <w:tc>
          <w:tcPr>
            <w:tcW w:w="1814" w:type="dxa"/>
            <w:tcBorders>
              <w:top w:val="nil"/>
              <w:left w:val="nil"/>
              <w:bottom w:val="nil"/>
              <w:right w:val="nil"/>
            </w:tcBorders>
            <w:shd w:val="clear" w:color="auto" w:fill="FFFFFF"/>
          </w:tcPr>
          <w:p w14:paraId="15AA4AB6">
            <w:pPr>
              <w:spacing w:after="0" w:line="240" w:lineRule="auto"/>
              <w:jc w:val="center"/>
              <w:rPr>
                <w:b w:val="0"/>
                <w:color w:val="000000"/>
              </w:rPr>
            </w:pPr>
            <w:r>
              <w:rPr>
                <w:rFonts w:ascii="Times New Roman" w:hAnsi="Times New Roman" w:eastAsia="宋体"/>
                <w:b w:val="0"/>
                <w:color w:val="000000"/>
                <w:sz w:val="21"/>
              </w:rPr>
              <w:t>1250</w:t>
            </w:r>
          </w:p>
        </w:tc>
      </w:tr>
      <w:tr w14:paraId="30EB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nil"/>
              <w:left w:val="nil"/>
              <w:bottom w:val="nil"/>
              <w:right w:val="nil"/>
            </w:tcBorders>
            <w:shd w:val="clear" w:color="auto" w:fill="FFFFFF"/>
          </w:tcPr>
          <w:p w14:paraId="16F939E9">
            <w:pPr>
              <w:spacing w:after="0" w:line="240" w:lineRule="auto"/>
              <w:jc w:val="center"/>
              <w:rPr>
                <w:b w:val="0"/>
                <w:color w:val="000000"/>
              </w:rPr>
            </w:pPr>
            <w:r>
              <w:rPr>
                <w:rFonts w:ascii="Times New Roman" w:hAnsi="Times New Roman" w:eastAsia="宋体"/>
                <w:b w:val="0"/>
                <w:color w:val="000000"/>
                <w:sz w:val="21"/>
              </w:rPr>
              <w:t>组织能力</w:t>
            </w:r>
          </w:p>
        </w:tc>
        <w:tc>
          <w:tcPr>
            <w:tcW w:w="1814" w:type="dxa"/>
            <w:tcBorders>
              <w:top w:val="nil"/>
              <w:left w:val="nil"/>
              <w:bottom w:val="nil"/>
              <w:right w:val="nil"/>
            </w:tcBorders>
            <w:shd w:val="clear" w:color="auto" w:fill="FFFFFF"/>
          </w:tcPr>
          <w:p w14:paraId="326D5903">
            <w:pPr>
              <w:spacing w:after="0" w:line="240" w:lineRule="auto"/>
              <w:jc w:val="center"/>
              <w:rPr>
                <w:b w:val="0"/>
                <w:color w:val="000000"/>
              </w:rPr>
            </w:pPr>
            <w:r>
              <w:rPr>
                <w:rFonts w:ascii="Times New Roman" w:hAnsi="Times New Roman" w:eastAsia="宋体"/>
                <w:b w:val="0"/>
                <w:color w:val="000000"/>
                <w:sz w:val="21"/>
              </w:rPr>
              <w:t>OC</w:t>
            </w:r>
          </w:p>
        </w:tc>
        <w:tc>
          <w:tcPr>
            <w:tcW w:w="1814" w:type="dxa"/>
            <w:tcBorders>
              <w:top w:val="nil"/>
              <w:left w:val="nil"/>
              <w:bottom w:val="nil"/>
              <w:right w:val="nil"/>
            </w:tcBorders>
            <w:shd w:val="clear" w:color="auto" w:fill="FFFFFF"/>
          </w:tcPr>
          <w:p w14:paraId="21EE3EBF">
            <w:pPr>
              <w:spacing w:after="0" w:line="240" w:lineRule="auto"/>
              <w:jc w:val="center"/>
              <w:rPr>
                <w:b w:val="0"/>
                <w:color w:val="000000"/>
              </w:rPr>
            </w:pPr>
            <w:r>
              <w:rPr>
                <w:rFonts w:ascii="Times New Roman" w:hAnsi="Times New Roman" w:eastAsia="宋体"/>
                <w:b w:val="0"/>
                <w:color w:val="000000"/>
                <w:sz w:val="21"/>
              </w:rPr>
              <w:t>4.11</w:t>
            </w:r>
          </w:p>
        </w:tc>
        <w:tc>
          <w:tcPr>
            <w:tcW w:w="1814" w:type="dxa"/>
            <w:tcBorders>
              <w:top w:val="nil"/>
              <w:left w:val="nil"/>
              <w:bottom w:val="nil"/>
              <w:right w:val="nil"/>
            </w:tcBorders>
            <w:shd w:val="clear" w:color="auto" w:fill="FFFFFF"/>
          </w:tcPr>
          <w:p w14:paraId="20502117">
            <w:pPr>
              <w:spacing w:after="0" w:line="240" w:lineRule="auto"/>
              <w:jc w:val="center"/>
              <w:rPr>
                <w:b w:val="0"/>
                <w:color w:val="000000"/>
              </w:rPr>
            </w:pPr>
            <w:r>
              <w:rPr>
                <w:rFonts w:ascii="Times New Roman" w:hAnsi="Times New Roman" w:eastAsia="宋体"/>
                <w:b w:val="0"/>
                <w:color w:val="000000"/>
                <w:sz w:val="21"/>
              </w:rPr>
              <w:t>0.92</w:t>
            </w:r>
          </w:p>
        </w:tc>
        <w:tc>
          <w:tcPr>
            <w:tcW w:w="1814" w:type="dxa"/>
            <w:tcBorders>
              <w:top w:val="nil"/>
              <w:left w:val="nil"/>
              <w:bottom w:val="nil"/>
              <w:right w:val="nil"/>
            </w:tcBorders>
            <w:shd w:val="clear" w:color="auto" w:fill="FFFFFF"/>
          </w:tcPr>
          <w:p w14:paraId="180F209A">
            <w:pPr>
              <w:spacing w:after="0" w:line="240" w:lineRule="auto"/>
              <w:jc w:val="center"/>
              <w:rPr>
                <w:b w:val="0"/>
                <w:color w:val="000000"/>
              </w:rPr>
            </w:pPr>
            <w:r>
              <w:rPr>
                <w:rFonts w:ascii="Times New Roman" w:hAnsi="Times New Roman" w:eastAsia="宋体"/>
                <w:b w:val="0"/>
                <w:color w:val="000000"/>
                <w:sz w:val="21"/>
              </w:rPr>
              <w:t>1250</w:t>
            </w:r>
          </w:p>
        </w:tc>
      </w:tr>
      <w:tr w14:paraId="0A5A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nil"/>
              <w:left w:val="nil"/>
              <w:bottom w:val="single" w:color="000000" w:sz="12" w:space="0"/>
              <w:right w:val="nil"/>
            </w:tcBorders>
            <w:shd w:val="clear" w:color="auto" w:fill="FFFFFF"/>
          </w:tcPr>
          <w:p w14:paraId="36F8896D">
            <w:pPr>
              <w:spacing w:after="0" w:line="240" w:lineRule="auto"/>
              <w:jc w:val="center"/>
              <w:rPr>
                <w:b w:val="0"/>
                <w:color w:val="000000"/>
              </w:rPr>
            </w:pPr>
            <w:r>
              <w:rPr>
                <w:rFonts w:ascii="Times New Roman" w:hAnsi="Times New Roman" w:eastAsia="宋体"/>
                <w:b w:val="0"/>
                <w:color w:val="000000"/>
                <w:sz w:val="21"/>
              </w:rPr>
              <w:t>经济发展水平</w:t>
            </w:r>
          </w:p>
        </w:tc>
        <w:tc>
          <w:tcPr>
            <w:tcW w:w="1814" w:type="dxa"/>
            <w:tcBorders>
              <w:top w:val="nil"/>
              <w:left w:val="nil"/>
              <w:bottom w:val="single" w:color="000000" w:sz="12" w:space="0"/>
              <w:right w:val="nil"/>
            </w:tcBorders>
            <w:shd w:val="clear" w:color="auto" w:fill="FFFFFF"/>
          </w:tcPr>
          <w:p w14:paraId="2AF6A056">
            <w:pPr>
              <w:spacing w:after="0" w:line="240" w:lineRule="auto"/>
              <w:jc w:val="center"/>
              <w:rPr>
                <w:b w:val="0"/>
                <w:color w:val="000000"/>
              </w:rPr>
            </w:pPr>
            <w:r>
              <w:rPr>
                <w:rFonts w:ascii="Times New Roman" w:hAnsi="Times New Roman" w:eastAsia="宋体"/>
                <w:b w:val="0"/>
                <w:color w:val="000000"/>
                <w:sz w:val="21"/>
              </w:rPr>
              <w:t>GDPpc</w:t>
            </w:r>
          </w:p>
        </w:tc>
        <w:tc>
          <w:tcPr>
            <w:tcW w:w="1814" w:type="dxa"/>
            <w:tcBorders>
              <w:top w:val="nil"/>
              <w:left w:val="nil"/>
              <w:bottom w:val="single" w:color="000000" w:sz="12" w:space="0"/>
              <w:right w:val="nil"/>
            </w:tcBorders>
            <w:shd w:val="clear" w:color="auto" w:fill="FFFFFF"/>
          </w:tcPr>
          <w:p w14:paraId="4035FFCD">
            <w:pPr>
              <w:spacing w:after="0" w:line="240" w:lineRule="auto"/>
              <w:jc w:val="center"/>
              <w:rPr>
                <w:b w:val="0"/>
                <w:color w:val="000000"/>
              </w:rPr>
            </w:pPr>
            <w:r>
              <w:rPr>
                <w:rFonts w:ascii="Times New Roman" w:hAnsi="Times New Roman" w:eastAsia="宋体"/>
                <w:b w:val="0"/>
                <w:color w:val="000000"/>
                <w:sz w:val="21"/>
              </w:rPr>
              <w:t>12.34</w:t>
            </w:r>
          </w:p>
        </w:tc>
        <w:tc>
          <w:tcPr>
            <w:tcW w:w="1814" w:type="dxa"/>
            <w:tcBorders>
              <w:top w:val="nil"/>
              <w:left w:val="nil"/>
              <w:bottom w:val="single" w:color="000000" w:sz="12" w:space="0"/>
              <w:right w:val="nil"/>
            </w:tcBorders>
            <w:shd w:val="clear" w:color="auto" w:fill="FFFFFF"/>
          </w:tcPr>
          <w:p w14:paraId="5FBA3AE6">
            <w:pPr>
              <w:spacing w:after="0" w:line="240" w:lineRule="auto"/>
              <w:jc w:val="center"/>
              <w:rPr>
                <w:b w:val="0"/>
                <w:color w:val="000000"/>
              </w:rPr>
            </w:pPr>
            <w:r>
              <w:rPr>
                <w:rFonts w:ascii="Times New Roman" w:hAnsi="Times New Roman" w:eastAsia="宋体"/>
                <w:b w:val="0"/>
                <w:color w:val="000000"/>
                <w:sz w:val="21"/>
              </w:rPr>
              <w:t>1.56</w:t>
            </w:r>
          </w:p>
        </w:tc>
        <w:tc>
          <w:tcPr>
            <w:tcW w:w="1814" w:type="dxa"/>
            <w:tcBorders>
              <w:top w:val="nil"/>
              <w:left w:val="nil"/>
              <w:bottom w:val="single" w:color="000000" w:sz="12" w:space="0"/>
              <w:right w:val="nil"/>
            </w:tcBorders>
            <w:shd w:val="clear" w:color="auto" w:fill="FFFFFF"/>
          </w:tcPr>
          <w:p w14:paraId="0A1CD12E">
            <w:pPr>
              <w:spacing w:after="0" w:line="240" w:lineRule="auto"/>
              <w:jc w:val="center"/>
              <w:rPr>
                <w:b w:val="0"/>
                <w:color w:val="000000"/>
              </w:rPr>
            </w:pPr>
            <w:r>
              <w:rPr>
                <w:rFonts w:ascii="Times New Roman" w:hAnsi="Times New Roman" w:eastAsia="宋体"/>
                <w:b w:val="0"/>
                <w:color w:val="000000"/>
                <w:sz w:val="21"/>
              </w:rPr>
              <w:t>1250</w:t>
            </w:r>
          </w:p>
        </w:tc>
      </w:tr>
    </w:tbl>
    <w:p w14:paraId="1EC3BE3F">
      <w:pPr>
        <w:spacing w:before="80" w:after="160" w:line="300" w:lineRule="auto"/>
        <w:jc w:val="left"/>
      </w:pPr>
      <w:r>
        <w:rPr>
          <w:rFonts w:ascii="Times New Roman" w:hAnsi="Times New Roman" w:eastAsia="楷体"/>
          <w:b w:val="0"/>
          <w:sz w:val="18"/>
        </w:rPr>
        <w:t>数据来源：作者根据××数据库整理。表题置于表上方居中，宋体五号10.5pt。表内文字宋体五号，表头加粗。表格采用三线表或简明网格表。</w:t>
      </w:r>
    </w:p>
    <w:p w14:paraId="7C562DCF">
      <w:pPr>
        <w:spacing w:before="280" w:after="120" w:line="360" w:lineRule="auto"/>
        <w:jc w:val="center"/>
        <w:outlineLvl w:val="0"/>
      </w:pPr>
      <w:r>
        <w:rPr>
          <w:rFonts w:ascii="Times New Roman" w:hAnsi="Times New Roman" w:eastAsia="黑体"/>
          <w:b/>
          <w:sz w:val="28"/>
        </w:rPr>
        <w:t>四、实证分析与结果</w:t>
      </w:r>
    </w:p>
    <w:p w14:paraId="4D6CD1F5">
      <w:pPr>
        <w:spacing w:before="200" w:after="80" w:line="360" w:lineRule="auto"/>
        <w:jc w:val="left"/>
        <w:outlineLvl w:val="1"/>
      </w:pPr>
      <w:r>
        <w:rPr>
          <w:rFonts w:ascii="Times New Roman" w:hAnsi="Times New Roman" w:eastAsia="黑体"/>
          <w:b/>
          <w:sz w:val="24"/>
        </w:rPr>
        <w:t>（一）基准回归结果</w:t>
      </w:r>
    </w:p>
    <w:p w14:paraId="73EB974D">
      <w:pPr>
        <w:spacing w:before="0" w:after="0" w:line="360" w:lineRule="auto"/>
        <w:ind w:firstLine="480"/>
        <w:jc w:val="both"/>
      </w:pPr>
      <w:r>
        <w:rPr>
          <w:rFonts w:ascii="Times New Roman" w:hAnsi="Times New Roman" w:eastAsia="宋体"/>
          <w:b w:val="0"/>
          <w:sz w:val="24"/>
        </w:rPr>
        <w:t>表2报告了基准回归结果。模型（1）仅纳入核心解释变量，模型（2）加入控制变量，模型（3）进一步控制国家和年份固定效应。结果显示……</w:t>
      </w:r>
    </w:p>
    <w:p w14:paraId="427F8FD8">
      <w:pPr>
        <w:spacing w:before="200" w:after="80" w:line="360" w:lineRule="auto"/>
        <w:jc w:val="left"/>
        <w:outlineLvl w:val="1"/>
      </w:pPr>
      <w:r>
        <w:rPr>
          <w:rFonts w:ascii="Times New Roman" w:hAnsi="Times New Roman" w:eastAsia="黑体"/>
          <w:b/>
          <w:sz w:val="24"/>
        </w:rPr>
        <w:t>（二）稳健性检验</w:t>
      </w:r>
    </w:p>
    <w:p w14:paraId="108A0F27">
      <w:pPr>
        <w:spacing w:before="0" w:after="0" w:line="360" w:lineRule="auto"/>
        <w:ind w:firstLine="480"/>
        <w:jc w:val="both"/>
      </w:pPr>
      <w:r>
        <w:rPr>
          <w:rFonts w:ascii="Times New Roman" w:hAnsi="Times New Roman" w:eastAsia="宋体"/>
          <w:b w:val="0"/>
          <w:sz w:val="24"/>
        </w:rPr>
        <w:t>为验证结果的稳健性，本文采用替换核心变量、工具变量法、子样本回归等多种方式进行检验，结果均保持一致。</w:t>
      </w:r>
    </w:p>
    <w:p w14:paraId="5EF8E092">
      <w:pPr>
        <w:spacing w:before="200" w:after="80" w:line="360" w:lineRule="auto"/>
        <w:jc w:val="left"/>
        <w:outlineLvl w:val="1"/>
      </w:pPr>
      <w:r>
        <w:rPr>
          <w:rFonts w:ascii="Times New Roman" w:hAnsi="Times New Roman" w:eastAsia="黑体"/>
          <w:b/>
          <w:sz w:val="24"/>
        </w:rPr>
        <w:t>（三）异质性分析</w:t>
      </w:r>
    </w:p>
    <w:p w14:paraId="50D4B53B">
      <w:pPr>
        <w:spacing w:before="0" w:after="0" w:line="360" w:lineRule="auto"/>
        <w:ind w:firstLine="480"/>
        <w:jc w:val="both"/>
      </w:pPr>
      <w:r>
        <w:rPr>
          <w:rFonts w:ascii="Times New Roman" w:hAnsi="Times New Roman" w:eastAsia="宋体"/>
          <w:b w:val="0"/>
          <w:sz w:val="24"/>
        </w:rPr>
        <w:t>进一步按地区（东亚/东南亚/南亚）、收入水平和制度环境分组检验，发现……</w:t>
      </w:r>
    </w:p>
    <w:p w14:paraId="584B645E">
      <w:pPr>
        <w:spacing w:before="280" w:after="120" w:line="360" w:lineRule="auto"/>
        <w:jc w:val="center"/>
        <w:outlineLvl w:val="0"/>
      </w:pPr>
      <w:r>
        <w:rPr>
          <w:rFonts w:ascii="Times New Roman" w:hAnsi="Times New Roman" w:eastAsia="黑体"/>
          <w:b/>
          <w:sz w:val="28"/>
        </w:rPr>
        <w:t>五、结论与政策建议</w:t>
      </w:r>
    </w:p>
    <w:p w14:paraId="5791E764">
      <w:pPr>
        <w:spacing w:before="200" w:after="80" w:line="360" w:lineRule="auto"/>
        <w:jc w:val="left"/>
        <w:outlineLvl w:val="1"/>
      </w:pPr>
      <w:r>
        <w:rPr>
          <w:rFonts w:ascii="Times New Roman" w:hAnsi="Times New Roman" w:eastAsia="黑体"/>
          <w:b/>
          <w:sz w:val="24"/>
        </w:rPr>
        <w:t>（一）主要结论</w:t>
      </w:r>
    </w:p>
    <w:p w14:paraId="22E03AE8">
      <w:pPr>
        <w:spacing w:before="0" w:after="0" w:line="360" w:lineRule="auto"/>
        <w:ind w:firstLine="480"/>
        <w:jc w:val="both"/>
      </w:pPr>
      <w:r>
        <w:rPr>
          <w:rFonts w:ascii="Times New Roman" w:hAnsi="Times New Roman" w:eastAsia="宋体"/>
          <w:b w:val="0"/>
          <w:sz w:val="24"/>
        </w:rPr>
        <w:t>本文研究发现：第一，……；第二，……；第三，……。结论部分应简明扼要地总结研究发现，不重复正文分析过程。</w:t>
      </w:r>
    </w:p>
    <w:p w14:paraId="7C878928">
      <w:pPr>
        <w:spacing w:before="200" w:after="80" w:line="360" w:lineRule="auto"/>
        <w:jc w:val="left"/>
        <w:outlineLvl w:val="1"/>
      </w:pPr>
      <w:r>
        <w:rPr>
          <w:rFonts w:ascii="Times New Roman" w:hAnsi="Times New Roman" w:eastAsia="黑体"/>
          <w:b/>
          <w:sz w:val="24"/>
        </w:rPr>
        <w:t>（二）政策建议</w:t>
      </w:r>
    </w:p>
    <w:p w14:paraId="576398AD">
      <w:pPr>
        <w:spacing w:before="0" w:after="0" w:line="360" w:lineRule="auto"/>
        <w:ind w:firstLine="480"/>
        <w:jc w:val="both"/>
      </w:pPr>
      <w:r>
        <w:rPr>
          <w:rFonts w:ascii="Times New Roman" w:hAnsi="Times New Roman" w:eastAsia="宋体"/>
          <w:b w:val="0"/>
          <w:sz w:val="24"/>
        </w:rPr>
        <w:t>基于上述结论，本文提出以下建议：（1）完善社会创新的制度支持体系，降低社会企业准入门槛；（2）加强亚洲国家间社会创新经验交流与合作网络建设；（3）推动社会影响力评估标准的区域协调与互认。</w:t>
      </w:r>
    </w:p>
    <w:p w14:paraId="714A93C0">
      <w:pPr>
        <w:spacing w:before="200" w:after="80" w:line="360" w:lineRule="auto"/>
        <w:jc w:val="left"/>
        <w:outlineLvl w:val="1"/>
      </w:pPr>
      <w:r>
        <w:rPr>
          <w:rFonts w:ascii="Times New Roman" w:hAnsi="Times New Roman" w:eastAsia="黑体"/>
          <w:b/>
          <w:sz w:val="24"/>
        </w:rPr>
        <w:t>（三）研究局限与展望</w:t>
      </w:r>
    </w:p>
    <w:p w14:paraId="6BE77379">
      <w:pPr>
        <w:spacing w:before="0" w:after="0" w:line="360" w:lineRule="auto"/>
        <w:ind w:firstLine="480"/>
        <w:jc w:val="both"/>
      </w:pPr>
      <w:r>
        <w:rPr>
          <w:rFonts w:ascii="Times New Roman" w:hAnsi="Times New Roman" w:eastAsia="宋体"/>
          <w:b w:val="0"/>
          <w:sz w:val="24"/>
        </w:rPr>
        <w:t>本研究存在以下局限：……。未来研究可从……方向进一步拓展。</w:t>
      </w:r>
    </w:p>
    <w:p w14:paraId="281AFA65">
      <w:pPr>
        <w:spacing w:before="320" w:after="160" w:line="360" w:lineRule="auto"/>
        <w:jc w:val="center"/>
        <w:outlineLvl w:val="0"/>
      </w:pPr>
      <w:r>
        <w:rPr>
          <w:rFonts w:ascii="Times New Roman" w:hAnsi="Times New Roman" w:eastAsia="黑体"/>
          <w:b/>
          <w:sz w:val="28"/>
        </w:rPr>
        <w:t>参考文献</w:t>
      </w:r>
    </w:p>
    <w:p w14:paraId="16A80E1D">
      <w:pPr>
        <w:spacing w:before="0" w:after="40" w:line="300" w:lineRule="auto"/>
        <w:ind w:left="420" w:hanging="420"/>
        <w:jc w:val="both"/>
      </w:pPr>
      <w:r>
        <w:rPr>
          <w:rFonts w:ascii="Times New Roman" w:hAnsi="Times New Roman" w:eastAsia="宋体"/>
          <w:b w:val="0"/>
          <w:sz w:val="18"/>
        </w:rPr>
        <w:t>[1] 陈某某，李某某. 亚洲社会创新的模式与路径研究[J]. 社会学研究，2023，38（2）：45-68.</w:t>
      </w:r>
    </w:p>
    <w:p w14:paraId="0C3924AD">
      <w:pPr>
        <w:spacing w:before="0" w:after="40" w:line="300" w:lineRule="auto"/>
        <w:ind w:left="420" w:hanging="420"/>
        <w:jc w:val="both"/>
      </w:pPr>
      <w:r>
        <w:rPr>
          <w:rFonts w:ascii="Times New Roman" w:hAnsi="Times New Roman" w:eastAsia="宋体"/>
          <w:b w:val="0"/>
          <w:sz w:val="18"/>
        </w:rPr>
        <w:t>[2] Smith J，Lee K H. Institutional Environments and Social Innovation in East Asia[J]. World Development</w:t>
      </w:r>
      <w:r>
        <w:rPr>
          <w:rFonts w:hint="eastAsia" w:ascii="Times New Roman" w:hAnsi="Times New Roman" w:eastAsia="宋体"/>
          <w:b w:val="0"/>
          <w:sz w:val="18"/>
          <w:lang w:eastAsia="zh-CN"/>
        </w:rPr>
        <w:t>，</w:t>
      </w:r>
      <w:r>
        <w:rPr>
          <w:rFonts w:ascii="Times New Roman" w:hAnsi="Times New Roman" w:eastAsia="宋体"/>
          <w:b w:val="0"/>
          <w:sz w:val="18"/>
        </w:rPr>
        <w:t>2022，156：105923.</w:t>
      </w:r>
    </w:p>
    <w:p w14:paraId="31286392">
      <w:pPr>
        <w:spacing w:before="0" w:after="40" w:line="300" w:lineRule="auto"/>
        <w:ind w:left="420" w:hanging="420"/>
        <w:jc w:val="both"/>
      </w:pPr>
      <w:r>
        <w:rPr>
          <w:rFonts w:ascii="Times New Roman" w:hAnsi="Times New Roman" w:eastAsia="宋体"/>
          <w:b w:val="0"/>
          <w:sz w:val="18"/>
        </w:rPr>
        <w:t>[3] 王某某. 社会企业与社区治理：基于中国案例的实证分析[M]. 北京：社会科学文献出版社，2022.</w:t>
      </w:r>
    </w:p>
    <w:p w14:paraId="02B5213E">
      <w:pPr>
        <w:spacing w:before="0" w:after="40" w:line="300" w:lineRule="auto"/>
        <w:ind w:left="420" w:hanging="420"/>
        <w:jc w:val="both"/>
      </w:pPr>
      <w:r>
        <w:rPr>
          <w:rFonts w:ascii="Times New Roman" w:hAnsi="Times New Roman" w:eastAsia="宋体"/>
          <w:b w:val="0"/>
          <w:sz w:val="18"/>
        </w:rPr>
        <w:t>[4] Pol E，Ville S. Social Innovation: Buzzword or Enduring Concept?[J]. Journal of Social Entrepreneurship，2009，1（1）：3-20.</w:t>
      </w:r>
    </w:p>
    <w:p w14:paraId="51E74DAF">
      <w:pPr>
        <w:spacing w:before="0" w:after="40" w:line="300" w:lineRule="auto"/>
        <w:ind w:left="420" w:hanging="420"/>
        <w:jc w:val="both"/>
      </w:pPr>
      <w:r>
        <w:rPr>
          <w:rFonts w:ascii="Times New Roman" w:hAnsi="Times New Roman" w:eastAsia="宋体"/>
          <w:b w:val="0"/>
          <w:sz w:val="18"/>
        </w:rPr>
        <w:t>[5] 张某某，赵某某. 普惠金融与农村发展：来自东南亚的证据[J]. 经济研究，2024，59（1）：112-130.</w:t>
      </w:r>
    </w:p>
    <w:p w14:paraId="34C5BEDC">
      <w:pPr>
        <w:spacing w:before="0" w:after="40" w:line="300" w:lineRule="auto"/>
        <w:ind w:left="420" w:hanging="420"/>
        <w:jc w:val="both"/>
      </w:pPr>
      <w:r>
        <w:rPr>
          <w:rFonts w:ascii="Times New Roman" w:hAnsi="Times New Roman" w:eastAsia="宋体"/>
          <w:b w:val="0"/>
          <w:sz w:val="18"/>
        </w:rPr>
        <w:t>[6] Nicholls A，Murdoch J. Social Innovation: The Politics and Practice of Sustainable Development[M]. London：Routledge，2012.</w:t>
      </w:r>
    </w:p>
    <w:p w14:paraId="4A2606A3">
      <w:pPr>
        <w:spacing w:before="0" w:after="40" w:line="300" w:lineRule="auto"/>
        <w:ind w:left="420" w:hanging="420"/>
        <w:jc w:val="both"/>
      </w:pPr>
      <w:r>
        <w:rPr>
          <w:rFonts w:ascii="Times New Roman" w:hAnsi="Times New Roman" w:eastAsia="宋体"/>
          <w:b w:val="0"/>
          <w:sz w:val="18"/>
        </w:rPr>
        <w:t>[7] 亚洲开发银行. 亚洲社会创新报告2023[R]. 马尼拉：亚洲开发银行，2023.</w:t>
      </w:r>
    </w:p>
    <w:p w14:paraId="570DDBCC">
      <w:pPr>
        <w:spacing w:before="0" w:after="40" w:line="300" w:lineRule="auto"/>
        <w:ind w:left="420" w:hanging="420"/>
        <w:jc w:val="both"/>
      </w:pPr>
      <w:r>
        <w:rPr>
          <w:rFonts w:ascii="Times New Roman" w:hAnsi="Times New Roman" w:eastAsia="宋体"/>
          <w:b w:val="0"/>
          <w:sz w:val="18"/>
        </w:rPr>
        <w:t>[8] 刘某某，陈某某. 社会影响力投资的发展现状与前景——基于亚洲市场的分析[J]. 金融研究，2023，（8）：78-95.</w:t>
      </w:r>
    </w:p>
    <w:p w14:paraId="738D5E93">
      <w:pPr>
        <w:spacing w:before="0" w:after="40" w:line="300" w:lineRule="auto"/>
        <w:ind w:left="420" w:hanging="420"/>
        <w:jc w:val="both"/>
      </w:pPr>
      <w:r>
        <w:rPr>
          <w:rFonts w:ascii="Times New Roman" w:hAnsi="Times New Roman" w:eastAsia="宋体"/>
          <w:b w:val="0"/>
          <w:sz w:val="18"/>
        </w:rPr>
        <w:t>[9] Mair J，Marti I. Social Entrepreneurship Research: A Source of Explanation，Prediction，and Delight[J]. Journal of World Business，2006，41（1）：36-44.</w:t>
      </w:r>
    </w:p>
    <w:p w14:paraId="72503181">
      <w:pPr>
        <w:spacing w:before="0" w:after="40" w:line="300" w:lineRule="auto"/>
        <w:ind w:left="420" w:hanging="420"/>
        <w:jc w:val="both"/>
      </w:pPr>
      <w:r>
        <w:rPr>
          <w:rFonts w:ascii="Times New Roman" w:hAnsi="Times New Roman" w:eastAsia="宋体"/>
          <w:b w:val="0"/>
          <w:sz w:val="18"/>
        </w:rPr>
        <w:t>[10] 周某某. 发展型国家与社会政策创新：东亚经验的启示[D]. 北京：北京大学博士学位论文，2021.</w:t>
      </w:r>
    </w:p>
    <w:p w14:paraId="483FA67A">
      <w:pPr>
        <w:spacing w:before="240" w:after="0" w:line="360" w:lineRule="auto"/>
        <w:jc w:val="both"/>
      </w:pPr>
    </w:p>
    <w:p w14:paraId="04DBC382">
      <w:pPr>
        <w:spacing w:before="240" w:after="120" w:line="360" w:lineRule="auto"/>
        <w:jc w:val="center"/>
        <w:outlineLvl w:val="0"/>
      </w:pPr>
      <w:r>
        <w:rPr>
          <w:rFonts w:ascii="Times New Roman" w:hAnsi="Times New Roman" w:eastAsia="Times New Roman"/>
          <w:b/>
          <w:sz w:val="28"/>
        </w:rPr>
        <w:t>English Title of the Paper (Times New Roman, 14pt, Bold, Centered)</w:t>
      </w:r>
    </w:p>
    <w:p w14:paraId="2B01DF77">
      <w:pPr>
        <w:spacing w:before="80" w:after="40" w:line="300" w:lineRule="auto"/>
        <w:jc w:val="center"/>
      </w:pPr>
      <w:r>
        <w:rPr>
          <w:rFonts w:ascii="Times New Roman" w:hAnsi="Times New Roman" w:eastAsia="Times New Roman"/>
          <w:b w:val="0"/>
          <w:sz w:val="21"/>
        </w:rPr>
        <w:t>ZUOZHE Yi¹，ZUOZHE Er²，ZUOZHE San¹</w:t>
      </w:r>
    </w:p>
    <w:p w14:paraId="70595599">
      <w:pPr>
        <w:spacing w:before="40" w:after="160" w:line="300" w:lineRule="auto"/>
        <w:jc w:val="center"/>
      </w:pPr>
      <w:r>
        <w:rPr>
          <w:rFonts w:ascii="Times New Roman" w:hAnsi="Times New Roman" w:eastAsia="Times New Roman"/>
          <w:b w:val="0"/>
          <w:sz w:val="18"/>
        </w:rPr>
        <w:t>(1. School of ××，×× University，Beijing 100000，China；2. ×× Research Institute，Shanghai 200000，China)</w:t>
      </w:r>
    </w:p>
    <w:p w14:paraId="224A8C41">
      <w:pPr>
        <w:spacing w:before="80" w:after="80" w:line="300" w:lineRule="auto"/>
        <w:ind w:firstLine="0"/>
        <w:jc w:val="both"/>
      </w:pPr>
      <w:r>
        <w:rPr>
          <w:rFonts w:ascii="Times New Roman" w:hAnsi="Times New Roman" w:eastAsia="Times New Roman"/>
          <w:b/>
          <w:sz w:val="18"/>
        </w:rPr>
        <w:t xml:space="preserve">Abstract:  </w:t>
      </w:r>
      <w:r>
        <w:rPr>
          <w:rFonts w:ascii="Times New Roman" w:hAnsi="Times New Roman" w:eastAsia="Times New Roman"/>
          <w:b w:val="0"/>
          <w:sz w:val="18"/>
        </w:rPr>
        <w:t>This paper examines the patterns and mechanisms of social innovation in Asia and their implications for sustainable development. Using a mixed-methods approach combining panel data analysis and comparative case studies from 2018 to 2023, we find that institutional quality and organizational capacity are key determinants of social innovation outcomes. The study contributes to the literature by… (English abstract should be 200-300 words, corresponding to the Chinese abstract.)</w:t>
      </w:r>
    </w:p>
    <w:p w14:paraId="73EEBC98">
      <w:pPr>
        <w:spacing w:before="40" w:after="160" w:line="300" w:lineRule="auto"/>
        <w:ind w:firstLine="0"/>
        <w:jc w:val="both"/>
      </w:pPr>
      <w:r>
        <w:rPr>
          <w:rFonts w:ascii="Times New Roman" w:hAnsi="Times New Roman" w:eastAsia="Times New Roman"/>
          <w:b/>
          <w:sz w:val="18"/>
        </w:rPr>
        <w:t xml:space="preserve">Keywords:  </w:t>
      </w:r>
      <w:r>
        <w:rPr>
          <w:rFonts w:ascii="Times New Roman" w:hAnsi="Times New Roman" w:eastAsia="Times New Roman"/>
          <w:b w:val="0"/>
          <w:sz w:val="18"/>
        </w:rPr>
        <w:t>social innovation；Asian development；institutional environment；organizational capacity；sustainable development</w:t>
      </w:r>
    </w:p>
    <w:p w14:paraId="7853C3B1">
      <w:pPr>
        <w:spacing w:before="0" w:after="0" w:line="360" w:lineRule="auto"/>
        <w:jc w:val="both"/>
      </w:pPr>
    </w:p>
    <w:p w14:paraId="322A1A25">
      <w:pPr>
        <w:jc w:val="center"/>
      </w:pPr>
      <w:r>
        <w:rPr>
          <w:rFonts w:ascii="Times New Roman" w:hAnsi="Times New Roman" w:eastAsia="宋体"/>
          <w:b w:val="0"/>
          <w:color w:val="808080"/>
          <w:sz w:val="18"/>
        </w:rPr>
        <w:t>— — — — — — — — — — — — — — — — — — — — — — — —</w:t>
      </w:r>
    </w:p>
    <w:p w14:paraId="21001A32">
      <w:pPr>
        <w:spacing w:before="240" w:after="120" w:line="360" w:lineRule="auto"/>
        <w:jc w:val="center"/>
        <w:outlineLvl w:val="0"/>
      </w:pPr>
      <w:r>
        <w:rPr>
          <w:rFonts w:ascii="Times New Roman" w:hAnsi="Times New Roman" w:eastAsia="黑体"/>
          <w:b/>
          <w:sz w:val="24"/>
        </w:rPr>
        <w:t>【投稿须知与格式规范】</w:t>
      </w:r>
    </w:p>
    <w:p w14:paraId="50436A38">
      <w:pPr>
        <w:spacing w:before="120" w:after="40" w:line="300" w:lineRule="auto"/>
        <w:jc w:val="left"/>
        <w:outlineLvl w:val="1"/>
      </w:pPr>
      <w:r>
        <w:rPr>
          <w:rFonts w:ascii="Times New Roman" w:hAnsi="Times New Roman" w:eastAsia="黑体"/>
          <w:b/>
          <w:sz w:val="21"/>
        </w:rPr>
        <w:t>一、稿件要求</w:t>
      </w:r>
    </w:p>
    <w:p w14:paraId="0B06BB28">
      <w:pPr>
        <w:spacing w:before="0" w:after="0" w:line="300" w:lineRule="auto"/>
        <w:ind w:firstLine="0"/>
        <w:jc w:val="both"/>
      </w:pPr>
      <w:r>
        <w:rPr>
          <w:rFonts w:ascii="Times New Roman" w:hAnsi="Times New Roman" w:eastAsia="宋体"/>
          <w:b w:val="0"/>
          <w:sz w:val="21"/>
        </w:rPr>
        <w:t>1. 来稿应具有学术创新性和理论价值，聚焦亚洲社会创新与发展相关议题，包括但不限于：社会企业与社会创业、社区治理创新、普惠金融与影响力投资、可持续发展目标（SDGs）、公共服务创新、数字社会创新、非营利组织管理、社会政策比较研究等。</w:t>
      </w:r>
    </w:p>
    <w:p w14:paraId="3294BAB0">
      <w:pPr>
        <w:spacing w:before="0" w:after="0" w:line="300" w:lineRule="auto"/>
        <w:ind w:firstLine="0"/>
        <w:jc w:val="both"/>
      </w:pPr>
      <w:r>
        <w:rPr>
          <w:rFonts w:ascii="Times New Roman" w:hAnsi="Times New Roman" w:eastAsia="宋体"/>
          <w:b w:val="0"/>
          <w:sz w:val="21"/>
        </w:rPr>
        <w:t>2. 论文字数一般为8000—15000字（含注释与参考文献），优质稿件可适当放宽。</w:t>
      </w:r>
    </w:p>
    <w:p w14:paraId="1F159D6B">
      <w:pPr>
        <w:spacing w:before="0" w:after="0" w:line="300" w:lineRule="auto"/>
        <w:ind w:firstLine="0"/>
        <w:jc w:val="both"/>
      </w:pPr>
      <w:r>
        <w:rPr>
          <w:rFonts w:ascii="Times New Roman" w:hAnsi="Times New Roman" w:eastAsia="宋体"/>
          <w:b w:val="0"/>
          <w:sz w:val="21"/>
        </w:rPr>
        <w:t>3. 来稿须为未公开发表的原创成果，严禁一稿多投和学术不端行为。</w:t>
      </w:r>
    </w:p>
    <w:p w14:paraId="6906878F">
      <w:pPr>
        <w:spacing w:before="40" w:after="40" w:line="300" w:lineRule="auto"/>
        <w:jc w:val="both"/>
      </w:pPr>
    </w:p>
    <w:p w14:paraId="56332869">
      <w:pPr>
        <w:spacing w:before="120" w:after="40" w:line="300" w:lineRule="auto"/>
        <w:jc w:val="left"/>
        <w:outlineLvl w:val="1"/>
      </w:pPr>
      <w:r>
        <w:rPr>
          <w:rFonts w:ascii="Times New Roman" w:hAnsi="Times New Roman" w:eastAsia="黑体"/>
          <w:b/>
          <w:sz w:val="21"/>
        </w:rPr>
        <w:t>二、格式规范</w:t>
      </w:r>
    </w:p>
    <w:p w14:paraId="034105BD">
      <w:pPr>
        <w:spacing w:before="0" w:after="0" w:line="300" w:lineRule="auto"/>
        <w:ind w:firstLine="0"/>
        <w:jc w:val="both"/>
      </w:pPr>
      <w:r>
        <w:rPr>
          <w:rFonts w:ascii="Times New Roman" w:hAnsi="Times New Roman" w:eastAsia="宋体"/>
          <w:b w:val="0"/>
          <w:sz w:val="21"/>
        </w:rPr>
        <w:t>1. 页面设置：A4纸，上下左右页边距均为2.5cm，单栏排版。</w:t>
      </w:r>
    </w:p>
    <w:p w14:paraId="032D1F52">
      <w:pPr>
        <w:spacing w:before="0" w:after="0" w:line="300" w:lineRule="auto"/>
        <w:ind w:firstLine="0"/>
        <w:jc w:val="both"/>
      </w:pPr>
      <w:r>
        <w:rPr>
          <w:rFonts w:ascii="Times New Roman" w:hAnsi="Times New Roman" w:eastAsia="宋体"/>
          <w:b w:val="0"/>
          <w:sz w:val="21"/>
        </w:rPr>
        <w:t>2. 题目：中文题目不超过20字，黑体小二（18pt）加粗居中；英文题目Times New Roman 14pt加粗居中。</w:t>
      </w:r>
    </w:p>
    <w:p w14:paraId="71C2F1D4">
      <w:pPr>
        <w:spacing w:before="0" w:after="0" w:line="300" w:lineRule="auto"/>
        <w:ind w:firstLine="0"/>
        <w:jc w:val="both"/>
      </w:pPr>
      <w:r>
        <w:rPr>
          <w:rFonts w:ascii="Times New Roman" w:hAnsi="Times New Roman" w:eastAsia="宋体"/>
          <w:b w:val="0"/>
          <w:sz w:val="21"/>
        </w:rPr>
        <w:t>3. 作者与单位：作者姓名宋体小四（12pt）居中；单位用小五（9pt）宋体居中，多位作者单位用上标数字标注。</w:t>
      </w:r>
    </w:p>
    <w:p w14:paraId="70128686">
      <w:pPr>
        <w:spacing w:before="0" w:after="0" w:line="300" w:lineRule="auto"/>
        <w:ind w:firstLine="0"/>
        <w:jc w:val="both"/>
      </w:pPr>
      <w:r>
        <w:rPr>
          <w:rFonts w:ascii="Times New Roman" w:hAnsi="Times New Roman" w:eastAsia="宋体"/>
          <w:b w:val="0"/>
          <w:sz w:val="21"/>
        </w:rPr>
        <w:t>4. 摘要：中文摘要300—500字，英文摘要200—300词，均使用小五（9pt）字体。</w:t>
      </w:r>
    </w:p>
    <w:p w14:paraId="5BF8DC0B">
      <w:pPr>
        <w:spacing w:before="0" w:after="0" w:line="300" w:lineRule="auto"/>
        <w:ind w:firstLine="0"/>
        <w:jc w:val="both"/>
      </w:pPr>
      <w:r>
        <w:rPr>
          <w:rFonts w:ascii="Times New Roman" w:hAnsi="Times New Roman" w:eastAsia="宋体"/>
          <w:b w:val="0"/>
          <w:sz w:val="21"/>
        </w:rPr>
        <w:t>5. 关键词：3—</w:t>
      </w:r>
      <w:r>
        <w:rPr>
          <w:rFonts w:hint="eastAsia" w:ascii="Times New Roman" w:hAnsi="Times New Roman" w:eastAsia="宋体"/>
          <w:b w:val="0"/>
          <w:sz w:val="21"/>
          <w:lang w:val="en-US" w:eastAsia="zh-CN"/>
        </w:rPr>
        <w:t>10</w:t>
      </w:r>
      <w:r>
        <w:rPr>
          <w:rFonts w:ascii="Times New Roman" w:hAnsi="Times New Roman" w:eastAsia="宋体"/>
          <w:b w:val="0"/>
          <w:sz w:val="21"/>
        </w:rPr>
        <w:t>个，小五字体，关键词之间用分号分隔。</w:t>
      </w:r>
    </w:p>
    <w:p w14:paraId="0A52548D">
      <w:pPr>
        <w:spacing w:before="0" w:after="0" w:line="300" w:lineRule="auto"/>
        <w:ind w:firstLine="0"/>
        <w:jc w:val="both"/>
      </w:pPr>
      <w:r>
        <w:rPr>
          <w:rFonts w:ascii="Times New Roman" w:hAnsi="Times New Roman" w:eastAsia="宋体"/>
          <w:b w:val="0"/>
          <w:sz w:val="21"/>
        </w:rPr>
        <w:t>6. 正文：宋体小四（12pt），1.5倍行距，首行缩进2字符，两端对齐。</w:t>
      </w:r>
    </w:p>
    <w:p w14:paraId="30ADEF16">
      <w:pPr>
        <w:spacing w:before="0" w:after="0" w:line="300" w:lineRule="auto"/>
        <w:ind w:firstLine="0"/>
        <w:jc w:val="both"/>
      </w:pPr>
      <w:r>
        <w:rPr>
          <w:rFonts w:ascii="Times New Roman" w:hAnsi="Times New Roman" w:eastAsia="宋体"/>
          <w:b w:val="0"/>
          <w:sz w:val="21"/>
        </w:rPr>
        <w:t>7. 标题层级：一级标题"一、"黑体四号（14pt）加粗居中；二级标题"（一）"黑体小四加粗左对齐；三级标题"1."宋体小四加粗首行缩进；四级标题"（1）"宋体小四加粗首行缩进。</w:t>
      </w:r>
    </w:p>
    <w:p w14:paraId="7CC0C295">
      <w:pPr>
        <w:spacing w:before="0" w:after="0" w:line="300" w:lineRule="auto"/>
        <w:ind w:firstLine="0"/>
        <w:jc w:val="both"/>
      </w:pPr>
      <w:r>
        <w:rPr>
          <w:rFonts w:ascii="Times New Roman" w:hAnsi="Times New Roman" w:eastAsia="宋体"/>
          <w:b w:val="0"/>
          <w:sz w:val="21"/>
        </w:rPr>
        <w:t>8. 图表：图题置于图下方，表题置于表上方，均为宋体五号（10.5pt）居中。图表按出现顺序连续编号。表格建议使用三线表。</w:t>
      </w:r>
    </w:p>
    <w:p w14:paraId="56D91EC7">
      <w:pPr>
        <w:spacing w:before="0" w:after="0" w:line="300" w:lineRule="auto"/>
        <w:ind w:firstLine="0"/>
        <w:jc w:val="both"/>
      </w:pPr>
      <w:r>
        <w:rPr>
          <w:rFonts w:ascii="Times New Roman" w:hAnsi="Times New Roman" w:eastAsia="宋体"/>
          <w:b w:val="0"/>
          <w:sz w:val="21"/>
        </w:rPr>
        <w:t>9. 引用与参考文献：采用顺序编码制，正文引用处以方括号阿拉伯数字（如[1]）按出现先后标注，建议上标；多篇连续引用标为[1-3]，非连续标为[1,3,5]。参考文献按正文引用顺序排列，执行GB/T 7714—2015标准，宋体小五（9pt），悬挂缩进。</w:t>
      </w:r>
    </w:p>
    <w:p w14:paraId="0569C0E4">
      <w:pPr>
        <w:spacing w:before="0" w:after="0" w:line="300" w:lineRule="auto"/>
        <w:ind w:firstLine="0"/>
        <w:jc w:val="both"/>
      </w:pPr>
      <w:r>
        <w:rPr>
          <w:rFonts w:ascii="Times New Roman" w:hAnsi="Times New Roman" w:eastAsia="宋体"/>
          <w:b w:val="0"/>
          <w:sz w:val="21"/>
        </w:rPr>
        <w:t>10. 脚注：采用页末脚注，宋体小五，每页重新编号。首页脚注依次标注收稿日期、基金项目、作者简介。</w:t>
      </w:r>
    </w:p>
    <w:p w14:paraId="01E296FD">
      <w:pPr>
        <w:spacing w:before="40" w:after="40" w:line="300" w:lineRule="auto"/>
        <w:jc w:val="both"/>
      </w:pPr>
    </w:p>
    <w:p w14:paraId="39B56363">
      <w:pPr>
        <w:spacing w:before="120" w:after="40" w:line="300" w:lineRule="auto"/>
        <w:jc w:val="left"/>
        <w:outlineLvl w:val="1"/>
      </w:pPr>
      <w:r>
        <w:rPr>
          <w:rFonts w:ascii="Times New Roman" w:hAnsi="Times New Roman" w:eastAsia="黑体"/>
          <w:b/>
          <w:sz w:val="21"/>
        </w:rPr>
        <w:t>三、首页脚注格式示例</w:t>
      </w:r>
    </w:p>
    <w:p w14:paraId="38BFE3D1">
      <w:pPr>
        <w:spacing w:before="0" w:after="0" w:line="300" w:lineRule="auto"/>
        <w:ind w:firstLine="0"/>
        <w:jc w:val="both"/>
      </w:pPr>
      <w:r>
        <w:rPr>
          <w:rFonts w:ascii="Times New Roman" w:hAnsi="Times New Roman" w:eastAsia="宋体"/>
          <w:b w:val="0"/>
          <w:sz w:val="21"/>
        </w:rPr>
        <w:t>[收稿日期] 2026-XX-XX</w:t>
      </w:r>
    </w:p>
    <w:p w14:paraId="2B80990D">
      <w:pPr>
        <w:spacing w:before="0" w:after="0" w:line="300" w:lineRule="auto"/>
        <w:ind w:firstLine="0"/>
        <w:jc w:val="both"/>
      </w:pPr>
      <w:r>
        <w:rPr>
          <w:rFonts w:ascii="Times New Roman" w:hAnsi="Times New Roman" w:eastAsia="宋体"/>
          <w:b w:val="0"/>
          <w:sz w:val="21"/>
        </w:rPr>
        <w:t>[基金项目] 国家社会科学基金重大项目"××××"（项目编号：XXZDA000）；××省哲学社会科学规划项目"××××"（项目编号：XXYB000）。</w:t>
      </w:r>
    </w:p>
    <w:p w14:paraId="18D33972">
      <w:pPr>
        <w:spacing w:before="0" w:after="0" w:line="300" w:lineRule="auto"/>
        <w:ind w:firstLine="0"/>
        <w:jc w:val="both"/>
      </w:pPr>
      <w:r>
        <w:rPr>
          <w:rFonts w:ascii="Times New Roman" w:hAnsi="Times New Roman" w:eastAsia="宋体"/>
          <w:b w:val="0"/>
          <w:sz w:val="21"/>
        </w:rPr>
        <w:t>[作者简介] 作者一（19XX—），男，××人，××大学××学院教授，博士生导师，研究方向：社会创新与公共政策；作者二（19XX—），女，××人，××研究院副研究员，研究方向：非营利组织管理。通讯作者：作者一，电子邮箱：author@university.edu.cn。</w:t>
      </w:r>
    </w:p>
    <w:p w14:paraId="7CEC7397">
      <w:pPr>
        <w:spacing w:before="40" w:after="40" w:line="300" w:lineRule="auto"/>
        <w:jc w:val="both"/>
      </w:pPr>
    </w:p>
    <w:p w14:paraId="189EC5BF">
      <w:pPr>
        <w:spacing w:before="120" w:after="40" w:line="300" w:lineRule="auto"/>
        <w:jc w:val="left"/>
        <w:outlineLvl w:val="1"/>
      </w:pPr>
      <w:r>
        <w:rPr>
          <w:rFonts w:ascii="Times New Roman" w:hAnsi="Times New Roman" w:eastAsia="黑体"/>
          <w:b/>
          <w:sz w:val="21"/>
        </w:rPr>
        <w:t>四、其他事项</w:t>
      </w:r>
    </w:p>
    <w:p w14:paraId="304263A0">
      <w:pPr>
        <w:spacing w:before="0" w:after="0" w:line="300" w:lineRule="auto"/>
        <w:ind w:firstLine="0"/>
        <w:jc w:val="both"/>
      </w:pPr>
      <w:r>
        <w:rPr>
          <w:rFonts w:ascii="Times New Roman" w:hAnsi="Times New Roman" w:eastAsia="宋体"/>
          <w:b w:val="0"/>
          <w:sz w:val="21"/>
        </w:rPr>
        <w:t>1. 来稿请附作者真实姓名、工作单位、职称、研究方向、通讯地址、邮政编码、联系电话和电子邮箱。</w:t>
      </w:r>
    </w:p>
    <w:p w14:paraId="734AEE6B">
      <w:pPr>
        <w:spacing w:before="0" w:after="0" w:line="300" w:lineRule="auto"/>
        <w:ind w:firstLine="0"/>
        <w:jc w:val="both"/>
      </w:pPr>
      <w:r>
        <w:rPr>
          <w:rFonts w:ascii="Times New Roman" w:hAnsi="Times New Roman" w:eastAsia="宋体"/>
          <w:b w:val="0"/>
          <w:sz w:val="21"/>
        </w:rPr>
        <w:t>2. 论文如获基金项目资助，请在首页脚注注明项目名称和编号。</w:t>
      </w:r>
    </w:p>
    <w:p w14:paraId="1D3C9042">
      <w:pPr>
        <w:spacing w:before="0" w:after="0" w:line="300" w:lineRule="auto"/>
        <w:ind w:firstLine="0"/>
        <w:jc w:val="both"/>
      </w:pPr>
      <w:r>
        <w:rPr>
          <w:rFonts w:ascii="Times New Roman" w:hAnsi="Times New Roman" w:eastAsia="宋体"/>
          <w:b w:val="0"/>
          <w:sz w:val="21"/>
        </w:rPr>
        <w:t>3. 本刊实行双向匿名审稿制度，审稿周期一般为2—3个月。</w:t>
      </w:r>
    </w:p>
    <w:p w14:paraId="6C713D18">
      <w:pPr>
        <w:spacing w:before="0" w:after="0" w:line="300" w:lineRule="auto"/>
        <w:ind w:firstLine="0"/>
        <w:jc w:val="both"/>
      </w:pPr>
      <w:r>
        <w:rPr>
          <w:rFonts w:ascii="Times New Roman" w:hAnsi="Times New Roman" w:eastAsia="宋体"/>
          <w:b w:val="0"/>
          <w:sz w:val="21"/>
        </w:rPr>
        <w:t>4. 稿件一经录用，作者须签署版权转让协议，论文数字化复制权、发行权、汇编权及信息网络传播权归本刊所有。</w:t>
      </w:r>
    </w:p>
    <w:sectPr>
      <w:headerReference r:id="rId5" w:type="default"/>
      <w:footerReference r:id="rId6" w:type="default"/>
      <w:pgSz w:w="11906" w:h="16838"/>
      <w:pgMar w:top="1417" w:right="1417" w:bottom="1417" w:left="1417" w:header="850" w:footer="85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思源宋體 TW">
    <w:altName w:val="宋体"/>
    <w:panose1 w:val="02020400000000000000"/>
    <w:charset w:val="88"/>
    <w:family w:val="auto"/>
    <w:pitch w:val="default"/>
    <w:sig w:usb0="00000000" w:usb1="00000000" w:usb2="00000016" w:usb3="00000000" w:csb0="60120107"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8B77E">
    <w:pPr>
      <w:pStyle w:val="24"/>
      <w:jc w:val="center"/>
    </w:pPr>
    <w:r>
      <w:rPr>
        <w:rFonts w:ascii="Times New Roman" w:hAnsi="Times New Roman" w:eastAsia="宋体"/>
        <w:b w:val="0"/>
        <w:sz w:val="21"/>
      </w:rPr>
      <w:fldChar w:fldCharType="begin"/>
    </w:r>
    <w:r>
      <w:rPr>
        <w:rFonts w:ascii="Times New Roman" w:hAnsi="Times New Roman" w:eastAsia="宋体"/>
        <w:b w:val="0"/>
        <w:sz w:val="21"/>
      </w:rPr>
      <w:instrText xml:space="preserve">PAGE</w:instrText>
    </w:r>
    <w:r>
      <w:rPr>
        <w:rFonts w:ascii="Times New Roman" w:hAnsi="Times New Roman" w:eastAsia="宋体"/>
        <w:b w:val="0"/>
        <w:sz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0979C">
    <w:pPr>
      <w:pStyle w:val="25"/>
      <w:pBdr>
        <w:bottom w:val="single" w:color="auto" w:sz="4" w:space="0"/>
      </w:pBdr>
      <w:jc w:val="left"/>
      <w:rPr>
        <w:rFonts w:hint="default"/>
        <w:lang w:val="en-US"/>
      </w:rPr>
    </w:pPr>
    <w:r>
      <w:rPr>
        <w:rFonts w:hint="default" w:ascii="Cambria" w:hAnsi="Cambria" w:eastAsia="等线" w:cs="Cambria"/>
        <w:lang w:eastAsia="zh-CN"/>
      </w:rPr>
      <w:drawing>
        <wp:inline distT="0" distB="0" distL="114300" distR="114300">
          <wp:extent cx="1327150" cy="311785"/>
          <wp:effectExtent l="0" t="0" r="6350" b="12065"/>
          <wp:docPr id="14" name="图片 1" descr="F:/桌面/AJSID'/logo.p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F:/桌面/AJSID'/logo.pnglogo"/>
                  <pic:cNvPicPr>
                    <a:picLocks noChangeAspect="1"/>
                  </pic:cNvPicPr>
                </pic:nvPicPr>
                <pic:blipFill>
                  <a:blip r:embed="rId1"/>
                  <a:srcRect t="5431" b="5431"/>
                  <a:stretch>
                    <a:fillRect/>
                  </a:stretch>
                </pic:blipFill>
                <pic:spPr>
                  <a:xfrm>
                    <a:off x="0" y="0"/>
                    <a:ext cx="1327150" cy="311785"/>
                  </a:xfrm>
                  <a:prstGeom prst="rect">
                    <a:avLst/>
                  </a:prstGeom>
                  <a:noFill/>
                  <a:ln>
                    <a:noFill/>
                  </a:ln>
                </pic:spPr>
              </pic:pic>
            </a:graphicData>
          </a:graphic>
        </wp:inline>
      </w:drawing>
    </w:r>
    <w:r>
      <w:rPr>
        <w:rFonts w:hint="eastAsia" w:ascii="Cambria" w:hAnsi="Cambria" w:eastAsia="等线" w:cs="Cambria"/>
        <w:lang w:val="en-US" w:eastAsia="zh-CN"/>
      </w:rPr>
      <w:t xml:space="preserve">                      亚洲社会创新与发展       第x卷，第x 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BB5793C"/>
    <w:rsid w:val="1728159B"/>
    <w:rsid w:val="36E515C4"/>
    <w:rsid w:val="7D35183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3190</Words>
  <Characters>4598</Characters>
  <Lines>0</Lines>
  <Paragraphs>0</Paragraphs>
  <TotalTime>0</TotalTime>
  <ScaleCrop>false</ScaleCrop>
  <LinksUpToDate>false</LinksUpToDate>
  <CharactersWithSpaces>4830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Ivy Wang</cp:lastModifiedBy>
  <dcterms:modified xsi:type="dcterms:W3CDTF">2026-09-13T14:05:58Z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eyJoZGlkIjoiZTE1Y2Q1ZmNjNTcwNGNlMDA1OWJmNDBlNjczODEwY2IiLCJ1c2VySWQiOiI1NjYxNzg0MzMifQ==</vt:lpwstr>
  </property>
  <property fmtid="{D5CDD505-2E9C-101B-9397-08002B2CF9AE}" pid="3" name="KSOProductBuildVer">
    <vt:lpwstr>2052-12.1.0.28043</vt:lpwstr>
  </property>
  <property fmtid="{D5CDD505-2E9C-101B-9397-08002B2CF9AE}" pid="4" name="ICV">
    <vt:lpwstr>5C85F65FAAC1403D8ED3DD8A4B855A85_13</vt:lpwstr>
  </property>
</Properties>
</file>