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C8566">
      <w:pPr>
        <w:ind w:left="0" w:leftChars="0" w:firstLine="0" w:firstLineChars="0"/>
        <w:jc w:val="center"/>
        <w:rPr>
          <w:rFonts w:hint="eastAsia" w:ascii="Times New Roman" w:hAnsi="Times New Roman" w:cs="Times New Roman"/>
          <w:b/>
          <w:bCs/>
          <w:szCs w:val="22"/>
        </w:rPr>
      </w:pPr>
      <w:r>
        <w:rPr>
          <w:rFonts w:hint="eastAsia" w:ascii="Times New Roman" w:hAnsi="Times New Roman" w:cs="Times New Roman"/>
          <w:b/>
          <w:bCs/>
          <w:szCs w:val="22"/>
        </w:rPr>
        <w:t>How the Public Makes Sense of Social Enterprises: A Mixed-Methods Study of Sector Blurring and Moral Expectations</w:t>
      </w:r>
    </w:p>
    <w:p w14:paraId="5A228082">
      <w:pPr>
        <w:rPr>
          <w:rFonts w:hint="eastAsia"/>
        </w:rPr>
      </w:pPr>
      <w:r>
        <w:rPr>
          <w:rFonts w:hint="eastAsia"/>
        </w:rPr>
        <w:t>Smith, Brett R.</w:t>
      </w:r>
      <w:bookmarkStart w:id="0" w:name="_GoBack"/>
      <w:bookmarkEnd w:id="0"/>
    </w:p>
    <w:p w14:paraId="0A8F066D">
      <w:pPr>
        <w:rPr>
          <w:rFonts w:hint="eastAsia"/>
        </w:rPr>
      </w:pPr>
      <w:r>
        <w:rPr>
          <w:rFonts w:hint="eastAsia"/>
        </w:rPr>
        <w:t>smithbr2@muohio.edu</w:t>
      </w:r>
    </w:p>
    <w:p w14:paraId="4FD0E75A">
      <w:pPr>
        <w:rPr>
          <w:rFonts w:hint="eastAsia"/>
        </w:rPr>
      </w:pPr>
      <w:r>
        <w:rPr>
          <w:rFonts w:hint="eastAsia"/>
        </w:rPr>
        <w:t>Miami Univ, Ctr Social Entrepreneurship, Oxford, OH 45056 USA</w:t>
      </w:r>
    </w:p>
    <w:p w14:paraId="3F21A80F">
      <w:pPr>
        <w:rPr>
          <w:rFonts w:hint="eastAsia"/>
        </w:rPr>
      </w:pPr>
    </w:p>
    <w:p w14:paraId="48B42B99">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Abstract</w:t>
      </w:r>
    </w:p>
    <w:p w14:paraId="0E0C8202">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Given the urgency of global crises, social enterprises have emerged as structural hybrids that blend commercial mechanisms with primary social missions. While literature extensively documents how internal managers navigate hybridity, less is known about how the general public decodes this sector blurring. Traditional stakeholder theory predominantly assumes objective corporate boundaries and clear sector categories, evaluating firms along an economic continuum. The context of sector blurring challenges these assumptions by mixing market logics with moral imperatives.</w:t>
      </w:r>
    </w:p>
    <w:p w14:paraId="6B359D92">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Adopting an exploratory sequential mixed-methods design, this study investigates the cognitive frameworks and moral expectations the public utilizes to evaluate social enterprises. Phase 1 draws on eight focus groups (N = 48) to capture the unprompted mental models used by citizens. Phase 2 tests these insights using a pre-registered randomized survey experiment (N = 1,200) across a nationally representative sample of US adults.</w:t>
      </w:r>
    </w:p>
    <w:p w14:paraId="2788224F">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Our qualitative findings reveal that when institutional boundaries dissolve, the public experiences acute cognitive friction, deploying four distinctive sensemaking strategies—particularizing, universalizing, sacred-profane partitioning, and cynical boundary policing—to rationalise behavioral expectations. Quantitative results demonstrate a non-linear relationship between commercial intensity and public trust: a severe "moral penalty" and high charges of hypocrisy are triggered when an enterprise operates in a sacred domain with full market self-sufficiency. However, we demonstrate that process-transparent framing effectively mitigates this backlash by altering the public’s cognitive evaluation from transactional purity to structural independence. The article contributes to stakeholder theory and institutional hybridity by shifting the analytical focus to external public sensemaking.</w:t>
      </w:r>
    </w:p>
    <w:p w14:paraId="420F550B">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b/>
          <w:bCs/>
          <w:szCs w:val="22"/>
          <w:lang w:val="en-US" w:eastAsia="zh-CN"/>
        </w:rPr>
        <w:t xml:space="preserve">Keywords: </w:t>
      </w:r>
      <w:r>
        <w:rPr>
          <w:rFonts w:hint="eastAsia" w:ascii="Times New Roman" w:hAnsi="Times New Roman" w:cs="Times New Roman"/>
          <w:szCs w:val="22"/>
          <w:lang w:val="en-US" w:eastAsia="zh-CN"/>
        </w:rPr>
        <w:t>Sector blurring, public sensemaking, social enterprise, moral expectations, survey experiment, hybrid organizations.</w:t>
      </w:r>
    </w:p>
    <w:p w14:paraId="7DB855A3">
      <w:pPr>
        <w:ind w:left="0" w:leftChars="0" w:firstLine="0" w:firstLineChars="0"/>
        <w:rPr>
          <w:rFonts w:hint="eastAsia" w:ascii="Times New Roman" w:hAnsi="Times New Roman" w:cs="Times New Roman"/>
          <w:szCs w:val="22"/>
          <w:lang w:val="en-US" w:eastAsia="zh-CN"/>
        </w:rPr>
      </w:pPr>
    </w:p>
    <w:p w14:paraId="1F704FBC">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1. Introduction</w:t>
      </w:r>
    </w:p>
    <w:p w14:paraId="2FAD9FBC">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In an era defined by compounding global crises—ranging from severe environmental degradation to widening socioeconomic inequality—traditional capitalistic paradigms face unprecedented societal criticism [1, 2]. This collective disillusionment has catalyzed substantial scholarly and practitioner interest in alternative organizational forms capable of pursuing social, environmental, and democratic values alongside economic viability [3, 4]. At the vanguard of this institutional shift stands the social enterprise—a unique structural hybrid that purposefully binds a revenue-generating commercial business model to a primary social welfare mission [4, 5]. By operating at the intersection of the market and civil society, social enterprises challenge the classical Milton Friedman paradigm that restricts corporate responsibility exclusively to shareholder wealth maximization, while simultaneously rejecting the philanthropic assumption that social change must depend entirely on voluntary donations or state redistribution.</w:t>
      </w:r>
    </w:p>
    <w:p w14:paraId="4412B930">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This systemic convergence of identities, structural arrangements, values, and practices across historically separated domains is conceptualized as sector blurring [1, 4]. While organizational sociology has generated extensive insights into how these hybrid forms manage internal operational friction—such as navigating competing employee identities, balancing divergent governance boards, and avoiding mission drift [6, 7], a critical empirical and theoretical gap remains. Organizations do not operate in an institutional vacuum; their external legitimacy, structural survival, and market growth are fundamentally anchored in the cognitive alignment and moral sanction of the general public. The public operates not merely as passive consumer targets, but as dynamic, active sensemakers who serve as customers, donors, civic evaluators, and voters.</w:t>
      </w:r>
    </w:p>
    <w:p w14:paraId="1A87B811">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Extant literature on stakeholder theory and stakeholder engagement (SE) remains overwhelmingly rooted in conventional for-profit corporations [8, 9]. As a consequence, traditional frameworks consistently rely on two core assumptions: first, that there are objective, contractually determined boundaries separating internal "insider" stakeholders from external "outsider" stakeholders relative to a focal firm [8]; and second, that engaging with non-economic stakeholders is an instrumental means to achieve corporate sustainability rather than an organizational goal in its own right [9, 10].</w:t>
      </w:r>
    </w:p>
    <w:p w14:paraId="5EE12994">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structural configuration of social enterprises explicitly disrupts both assumptions [3]. In a blurred institutional landscape, the boundary between consumer, donor, and beneficiary becomes highly ambiguous and subjective [3], and the achievement of social value represents the organization’s explicit raison d'être rather than a corporate social responsibility (CSR) afterthought [11].</w:t>
      </w:r>
    </w:p>
    <w:p w14:paraId="1D875D2C">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Consequently, understanding how the public makes sense of sector blurring requires a shift in focus toward external cognitive processing and moral expectations. How do ordinary citizens decode an entity that simultaneously speaks two divergent institutional languages: the instrumental, self-interested logic of the market (efficiency, price, profit, competition) and the expressive, collective logic of civil society (altruism, equity, solidarity)? When these logics are blended, do individuals view the resulting hybrid as a benign socio-economic innovation or as a deceptive, manipulative corporate mutation?</w:t>
      </w:r>
    </w:p>
    <w:p w14:paraId="27305705">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address these questions, this article adopts a sensemaking and enactment lens [3, 12], applying it to the external public rather than internal managers. We investigate the specific cognitive heuristics and moral boundaries ordinary citizens deploy when evaluating blurred organizations, and explore how these cognitive structures inform their subsequent behavioral intentions. We structure our investigation around two related research questions:</w:t>
      </w:r>
    </w:p>
    <w:p w14:paraId="6BB404FB">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Research Question 1: How do members of the general public make sense of the relationship between their deeply held moral expectations and the commercial reality of social enterprises? [3]</w:t>
      </w:r>
    </w:p>
    <w:p w14:paraId="0AFF07DE">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Research Question 2: How does public sensemaking inform the enactment of evaluation outcomes, specifically regarding organizational trust, perceived hypocrisy, and behavioral support? [3, 13]</w:t>
      </w:r>
    </w:p>
    <w:p w14:paraId="5913BB27">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answer these questions, we deploy an exploratory sequential mixed-methods research design [14]. Phase 1 consists of a qualitative focus group study involving 48 participants across eight distinct demographic cohorts in the United States to map the qualitative vocabulary and boundaries that citizens utilize to decode sector blurring [14]. Phase 2 builds directly upon these qualitative insights by executing a large-scale, pre-registered randomized vignette survey experiment (N = 1,200) with a nationally representative sample of US adults. By systematically manipulating an organization's commercial intensity, its operational domain, and its communication framing, we isolate the causal mechanisms that drive public evaluation and behavioral backlash.</w:t>
      </w:r>
    </w:p>
    <w:p w14:paraId="0F02BBE8">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By integrating these distinct methods, our study contributes to the literature on stakeholder theory, institutional hybridity, and moral economics in two primary ways [3, 4]. First, we challenge the optimistic bias in hybrid organizational literature by illustrating how sector blurring induces severe cognitive dissonance within the public, leading to an immediate "moral penalty" when market intensity crosses a specific threshold [13, 15]. Second, we demonstrate that public sensemaking is highly dynamic and sensitive to process transparency; by explicitly detailing the structural constraints of philanthropy, organizations can reshape the public’s evaluative schema from a focus on transactional purity to an appreciation for systemic independence [3, 15].</w:t>
      </w:r>
    </w:p>
    <w:p w14:paraId="5C987E80">
      <w:pPr>
        <w:rPr>
          <w:rFonts w:hint="eastAsia"/>
        </w:rPr>
      </w:pPr>
    </w:p>
    <w:p w14:paraId="4950F5E1">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2. Theoretical Background</w:t>
      </w:r>
    </w:p>
    <w:p w14:paraId="1A9BA5D4">
      <w:pPr>
        <w:rPr>
          <w:rFonts w:hint="eastAsia" w:ascii="Times New Roman" w:hAnsi="Times New Roman" w:cs="Times New Roman"/>
          <w:b/>
          <w:bCs/>
          <w:szCs w:val="22"/>
          <w:lang w:val="en-US" w:eastAsia="zh-CN"/>
        </w:rPr>
      </w:pPr>
      <w:r>
        <w:rPr>
          <w:rFonts w:hint="eastAsia"/>
        </w:rPr>
        <w:t xml:space="preserve"> </w:t>
      </w:r>
      <w:r>
        <w:rPr>
          <w:rFonts w:hint="eastAsia" w:ascii="Times New Roman" w:hAnsi="Times New Roman" w:cs="Times New Roman"/>
          <w:b/>
          <w:bCs/>
          <w:szCs w:val="22"/>
          <w:lang w:val="en-US" w:eastAsia="zh-CN"/>
        </w:rPr>
        <w:t>2.1 The Who, How, and Why of Public Evaluation in Blurred Sectors</w:t>
      </w:r>
    </w:p>
    <w:p w14:paraId="7ABE7E80">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understand the cognitive mechanics of how the public evaluates hybrid organizations, we must first examine the foundational dimensions of stakeholder engagement and corporate valuation. Extant scholarship suggests that any holistic approach to evaluating organizational legitimacy must answer three interrelated questions: who is recognized as a legitimate actor [3, 8], how are actions structurally performed [3, 9], and why or on what underlying normative principles is the organization justified [3].</w:t>
      </w:r>
    </w:p>
    <w:p w14:paraId="7D57B62B">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In traditional for-profit settings, the answers to these questions are straightforward and insulated by clear sector boundaries [8, 9]. The who is bounded by formal contractual relationships (shareholders, employees, buyers) [8]; the how is executed via competitive market pricing and wealth accumulation; and the why is anchored in the strategic maximization of efficiency and profit [10]. Conversely, in the non-profit or civil society sector, the who expands to include vulnerable beneficiaries and community members [3]; the how is performed through voluntary altruism and redistribution; and the why is morally justified by the uncorrupted pursuit of human dignity and public goods [3].</w:t>
      </w:r>
    </w:p>
    <w:p w14:paraId="3100E9C1">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Sector blurring completely destabilizes this neat taxonomical architecture [1, 4]. When a social enterprise integrates commercial mechanisms to fund a welfare mission, it creates an ambiguous organizational space [4]. In this space, traditional contractual categories become insufficient [3]. For example, a customer buying a product from a social enterprise is simultaneously a market buyer and a civic donor. As a result, the process of public evaluation cannot rely on objective, contractually determined sector boundaries [8]. Instead, it becomes a deeply subjective, cognitive process of categorization, where individuals must actively determine which institutional rules and evaluative standards apply to the hybrid entity [3, 12].</w:t>
      </w:r>
    </w:p>
    <w:p w14:paraId="2BFAA158">
      <w:pPr>
        <w:rPr>
          <w:rFonts w:hint="eastAsia"/>
        </w:rPr>
      </w:pPr>
    </w:p>
    <w:p w14:paraId="2DDBC974">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2.2 Cognitive Schema Categorization and Institutional Logics</w:t>
      </w:r>
    </w:p>
    <w:p w14:paraId="6784289A">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Sociological and cognitive research indicates that individuals understand the social world by assigning observed entities to established cognitive schemas—structured mental frameworks that represent generic concepts and prototypes [16]. These schemas are intimately bound to specific institutional logics, which dictate the socially constructed patterns of material practices, values, beliefs, and assumptions by which individuals give meaning to daily reality [16].</w:t>
      </w:r>
    </w:p>
    <w:p w14:paraId="70C16749">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When encountering a traditional for-profit corporation, the public automatically activates a market logic schema [16]. Under this schema, expectations of corporate behavior are calibrated to self-interest, efficiency, and capital accumulation [16]. Crucially, because the baseline moral expectation for a standard business is low, the public rarely experiences emotional revulsion or moral betrayal when a corporation acts in an economically self-interested manner; such behavior maintains structural alignment with the activated schema. Conversely, when encountering a charity, individuals activate a social welfare logic schema, expecting pure altruism, selflessness, and freedom from market contamination [16].</w:t>
      </w:r>
    </w:p>
    <w:p w14:paraId="5985C288">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social enterprise presents traits that simultaneously stimulate both schemas, violating the cognitive principle of mutual exclusivity [3, 16]. According to cognitive categorization theory, when an object defies clean classification into a single category, individuals experience cognitive friction and psychological discomfort [17]. To resolve this ambiguity, they transition from automatic, low-effort cognitive processing to active, deliberative sensemaking [12]. They look for organizational cues—such as the ratio of commercial income to social output—to determine whether the entity represents a legitimate innovation or an opportunistic exploitation of a social cause [3].</w:t>
      </w:r>
    </w:p>
    <w:p w14:paraId="4FBC45E9">
      <w:pPr>
        <w:rPr>
          <w:rFonts w:hint="eastAsia"/>
        </w:rPr>
      </w:pPr>
    </w:p>
    <w:p w14:paraId="7DC59600">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2.3 Moral Boundaries and the Asymmetry of Suspicion</w:t>
      </w:r>
    </w:p>
    <w:p w14:paraId="0DD12EEE">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understand the normative criteria the public applies during this sensemaking process, we must look to the sociology of morality and money. Sociological theory has long argued that human cultures maintain rigid, protective boundaries between the sacred and the profane [18]. The sacred encompasses dimensions of human life set apart for collective protection and emotional awe—such as caring for sick children, protecting ecological integrity, and relieving severe human suffering [19]. The profane represents the ordinary, utilitarian transactions of the competitive marketplace, driven by cash conversions and instrumental calculations [18].</w:t>
      </w:r>
    </w:p>
    <w:p w14:paraId="194644DF">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When a social enterprise introduces a profit-generating commercial business model into a sacred domain, it risks triggering what Tetlock defines as a taboo trade-off [19]. This is an explicit exchange or comparison between a sacred, non-negotiable value and a profane, monetary commodity [19]. Psychological and behavioral literature demonstrates that when individuals observe a taboo trade-off, they experience immediate moral outrage, perform punitive cognitive evaluations, and feel a strong psychological desire to distance themselves from the offending actor [19].</w:t>
      </w:r>
    </w:p>
    <w:p w14:paraId="138326E2">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This moral dynamic produces an acute asymmetry of suspicion and a heightened vulnerability to charges of organizational hypocrisy [20]. Because a social enterprise explicitly claims a high-ground moral identity, it establishes an elevated standard of ethical accountability [3]. When a hybrid organization intensifies its market behaviors, the public does not evaluate it against the low moral baseline of a traditional corporation [20]. Instead, the public closely monitors the hybrid for signs of moral compromise [3]. Any perceived overreach into commercial revenue generation can easily be decoded as a calculated manipulation—using a sacred social cause as an emotional shield to extract consumer surplus [20].</w:t>
      </w:r>
    </w:p>
    <w:p w14:paraId="7C230EE2">
      <w:pPr>
        <w:rPr>
          <w:rFonts w:hint="eastAsia"/>
        </w:rPr>
      </w:pPr>
    </w:p>
    <w:p w14:paraId="07A03A61">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2.4 Public Sensemaking and Behavioral Enactment</w:t>
      </w:r>
    </w:p>
    <w:p w14:paraId="15D0AFBE">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In accordance with organizational sensemaking theory, cognition is fundamentally linked to action through enactment [12]. Sensemaking is not an insulated interpretive exercise; rather, the specific cognitive strategies individuals use to rationalize an ambiguous situation directly construct their subsequent behavioral decisions [3, 12]. In the internal managerial context, leader sensemaking enacts organizational strategies [3]. In the external public context, citizen sensemaking enacts behavioral outcomes, determining whether an individual grants the organization legitimacy and trust, or penalizes it via boycotts, brand rejection, and accusations of hypocrisy [13, 20].</w:t>
      </w:r>
    </w:p>
    <w:p w14:paraId="529E4B2A">
      <w:pPr>
        <w:rPr>
          <w:rFonts w:hint="eastAsia"/>
        </w:rPr>
      </w:pPr>
    </w:p>
    <w:p w14:paraId="16354D98">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3. Research Method</w:t>
      </w:r>
    </w:p>
    <w:p w14:paraId="2A80979D">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examine how the public makes sense of sector blurring and moral expectations, this study implements an exploratory sequential mixed-methods research design [14]. This approach is highly appropriate for investigating complex cognitive phenomena where the vocabulary and underlying heuristics must first be qualitatively uncovered before their causal relationships can be quantitatively tested and generalized [14].</w:t>
      </w:r>
    </w:p>
    <w:p w14:paraId="6C610FCB">
      <w:pPr>
        <w:rPr>
          <w:rFonts w:hint="eastAsia"/>
        </w:rPr>
      </w:pPr>
    </w:p>
    <w:p w14:paraId="579D8662">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3.1 Phase 1: Qualitative Focus Groups</w:t>
      </w:r>
    </w:p>
    <w:p w14:paraId="7C1A4633">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capture the raw, unprompted cognitive strategies and moral boundaries deployed by ordinary citizens, we conducted eight semi-structured focus groups between October and December 2023 (N = 48) [14].</w:t>
      </w:r>
    </w:p>
    <w:p w14:paraId="79C7E943">
      <w:pPr>
        <w:ind w:left="0" w:leftChars="0" w:firstLine="0" w:firstLineChars="0"/>
        <w:rPr>
          <w:rFonts w:hint="eastAsia" w:ascii="Times New Roman" w:hAnsi="Times New Roman" w:cs="Times New Roman"/>
          <w:szCs w:val="22"/>
          <w:lang w:val="en-US" w:eastAsia="zh-CN"/>
        </w:rPr>
      </w:pPr>
    </w:p>
    <w:p w14:paraId="65227150">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Sampling Strategy</w:t>
      </w:r>
    </w:p>
    <w:p w14:paraId="1DD03BE7">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We implemented a purposive geographic and demographic sampling strategy across two distinct metropolitan regions in the United States to ensure a wide distribution of socio-political orientations regarding markets and state welfare: an urban, progressive city in the Pacific Northwest (n = 24, 4 groups) and a suburban, conservative-leaning community in the American Midwest (n = 24, 4 groups). Each focus group comprised 6 participants, lasted approximately 90 minutes, and was recorded and transcribed verbatim [14].</w:t>
      </w:r>
    </w:p>
    <w:p w14:paraId="40A75FBF">
      <w:pPr>
        <w:ind w:left="0" w:leftChars="0" w:firstLine="0" w:firstLineChars="0"/>
        <w:rPr>
          <w:rFonts w:hint="eastAsia" w:ascii="Times New Roman" w:hAnsi="Times New Roman" w:cs="Times New Roman"/>
          <w:szCs w:val="22"/>
          <w:lang w:val="en-US" w:eastAsia="zh-CN"/>
        </w:rPr>
      </w:pPr>
    </w:p>
    <w:p w14:paraId="38139D17">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Interview Protocol</w:t>
      </w:r>
    </w:p>
    <w:p w14:paraId="39E3D8D3">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focus group protocol (adapted from the leader-focused paradigm of Radoynovska [3] to capture public-focused perceptions) followed an inverted pyramid structure [14]. Discussions began with broad, macro-level reflections on the cultural boundaries of businesses versus charities [3]. Next, we introduced prominent real-world exemplars of social enterprises (e.g., TOMS Shoes, Patagonia) before presenting hypothetical, localized social enterprise scenarios (e.g., a high-margin commercial bakery employing formerly incarcerated individuals [3], or a commercial firm charging high prices for clean water technologies).</w:t>
      </w:r>
    </w:p>
    <w:p w14:paraId="77074A41">
      <w:pPr>
        <w:ind w:left="0" w:leftChars="0" w:firstLine="0" w:firstLineChars="0"/>
        <w:rPr>
          <w:rFonts w:hint="eastAsia" w:ascii="Times New Roman" w:hAnsi="Times New Roman" w:cs="Times New Roman"/>
          <w:szCs w:val="22"/>
          <w:lang w:val="en-US" w:eastAsia="zh-CN"/>
        </w:rPr>
      </w:pPr>
    </w:p>
    <w:p w14:paraId="7E4EC5AB">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Qualitative Coding Analysis</w:t>
      </w:r>
    </w:p>
    <w:p w14:paraId="33066918">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Data analysis followed an abductive, grounded-theory-informed thematic approach [14, 21]. Transcripts were independently analyzed by two primary researchers using NVivo software. Open coding initially identified first-order conceptual labels derived directly from the participants’ language (e.g., "feels like a scam," "using good causes to sell things," "charity needs an engine") [21]. Through iterative axial coding, these concepts were grouped into abstract second-order themes and aggregate dimensions representing distinct public sensemaking strategies [21]. The inter-rater reliability achieved a Cohen’s Kappa of 0.86, demonstrating robust analytical rigor [14].</w:t>
      </w:r>
    </w:p>
    <w:p w14:paraId="26298366">
      <w:pPr>
        <w:rPr>
          <w:rFonts w:hint="eastAsia"/>
        </w:rPr>
      </w:pPr>
    </w:p>
    <w:p w14:paraId="6DA438AF">
      <w:r>
        <w:drawing>
          <wp:inline distT="0" distB="0" distL="114300" distR="114300">
            <wp:extent cx="4497070" cy="2620645"/>
            <wp:effectExtent l="0" t="0" r="17780" b="8255"/>
            <wp:docPr id="6" name="E657119C-6982-421D-8BA7-E74DEB70A7D9-1"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657119C-6982-421D-8BA7-E74DEB70A7D9-1" descr="wpp"/>
                    <pic:cNvPicPr>
                      <a:picLocks noChangeAspect="1"/>
                    </pic:cNvPicPr>
                  </pic:nvPicPr>
                  <pic:blipFill>
                    <a:blip r:embed="rId4"/>
                    <a:stretch>
                      <a:fillRect/>
                    </a:stretch>
                  </pic:blipFill>
                  <pic:spPr>
                    <a:xfrm>
                      <a:off x="0" y="0"/>
                      <a:ext cx="4497070" cy="2620645"/>
                    </a:xfrm>
                    <a:prstGeom prst="rect">
                      <a:avLst/>
                    </a:prstGeom>
                  </pic:spPr>
                </pic:pic>
              </a:graphicData>
            </a:graphic>
          </wp:inline>
        </w:drawing>
      </w:r>
    </w:p>
    <w:p w14:paraId="316E3759">
      <w:pPr>
        <w:rPr>
          <w:rFonts w:hint="eastAsia"/>
        </w:rPr>
      </w:pPr>
      <w:r>
        <w:rPr>
          <w:rFonts w:hint="eastAsia" w:ascii="Times New Roman" w:hAnsi="Times New Roman" w:cs="Times New Roman"/>
          <w:b/>
          <w:bCs/>
          <w:szCs w:val="22"/>
          <w:lang w:val="en-US" w:eastAsia="zh-CN"/>
        </w:rPr>
        <w:t xml:space="preserve">Figure 1: </w:t>
      </w:r>
      <w:r>
        <w:rPr>
          <w:rFonts w:hint="eastAsia" w:ascii="Times New Roman" w:hAnsi="Times New Roman" w:cs="Times New Roman"/>
          <w:szCs w:val="22"/>
          <w:lang w:val="en-US" w:eastAsia="zh-CN"/>
        </w:rPr>
        <w:t>Overview of Phases of the Data Analysis Process</w:t>
      </w:r>
    </w:p>
    <w:p w14:paraId="2B3ED915">
      <w:pPr>
        <w:rPr>
          <w:rFonts w:hint="eastAsia"/>
        </w:rPr>
      </w:pPr>
    </w:p>
    <w:p w14:paraId="0F6E071F">
      <w:pPr>
        <w:ind w:left="0" w:leftChars="0" w:firstLine="0" w:firstLineChars="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stepwise logical alignment from first-order concepts to conceptual themes is mapped systematically in Figure 1, tracking the developmental progression from raw text extraction to formal category synthesis.</w:t>
      </w:r>
    </w:p>
    <w:p w14:paraId="35610F83">
      <w:pPr>
        <w:rPr>
          <w:rFonts w:hint="eastAsia"/>
        </w:rPr>
      </w:pPr>
    </w:p>
    <w:p w14:paraId="1EF829B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3.2 Phase 2: Quantitative Survey Experiment</w:t>
      </w:r>
    </w:p>
    <w:p w14:paraId="08CD27C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establish the causal validity, non-linear thresholds, and boundary conditions of the qualitative insights discovered in Phase 1, we executed a large-scale, pre-registered randomized vignette-based survey experiment in March 2024 [13].</w:t>
      </w:r>
    </w:p>
    <w:p w14:paraId="4D98B59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043CEBE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Participant Sample and Quota Controls</w:t>
      </w:r>
    </w:p>
    <w:p w14:paraId="4D6B8F4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experimental sample comprised N = 1,200 US adults recruited through CloudResearch Connect. We deployed strict, pre-stratified quota sampling to ensure the participant pool precisely mirrored the national demographic distributions reported in the US Census Bureau.</w:t>
      </w:r>
    </w:p>
    <w:p w14:paraId="150CFEC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0DF666B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Experimental Design and Vignette Manipulations</w:t>
      </w:r>
    </w:p>
    <w:p w14:paraId="6079491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Participants were randomly allocated to one of twelve experimental conditions via a 3  times 2  times 2 between-subjects factorial design [13]. The base vignette introduced a realistic, purpose-driven firm named "Aura Clean", an organization structurally designed to address critical environmental and human needs [3]. We systematically manipulated three independent structural variables:</w:t>
      </w:r>
    </w:p>
    <w:p w14:paraId="10AC2E2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Commercial Intensity (3 Levels): Low Commerciality: Aura Clean operates primarily on non-profit foundation grants (70 %), filling the remaining 30 % of its budget through the commercial sale of water filtration pitchers.</w:t>
      </w:r>
    </w:p>
    <w:p w14:paraId="379A255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Balanced Commerciality: Aura Clean splits its funding structure evenly, deriving 50 % of its operating capital from philanthropic grants and 50 % from commercial sales [3].</w:t>
      </w:r>
    </w:p>
    <w:p w14:paraId="708C13B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High Commerciality: Aura Clean operates entirely as a self-sustaining market actor, generating 100 % of its revenue from commercial product sales, receiving 0 % from philanthropy.</w:t>
      </w:r>
    </w:p>
    <w:p w14:paraId="595A961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Domain Sanctity (2 Levels):</w:t>
      </w:r>
    </w:p>
    <w:p w14:paraId="6C9DB64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Sacred Domain Focus: Aura Clean operates directly within the clean drinking water provision sector, serving children suffering from local environmental lead poisoning [19].</w:t>
      </w:r>
    </w:p>
    <w:p w14:paraId="3CFC399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Profane Domain Focus: Aura Clean operates within the standard eco-friendly consumer goods market, manufacturing household cleaning sprays out of ocean-recycled plastics.</w:t>
      </w:r>
    </w:p>
    <w:p w14:paraId="6E27A8C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Communication Framing (2 Levels):</w:t>
      </w:r>
    </w:p>
    <w:p w14:paraId="5A52A62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Outcome-Only Framing: Marketing and informational materials focus entirely on the absolute, final social metrics achieved [15] ("Every purchase successfully removes 5 lbs of toxic plastic").</w:t>
      </w:r>
    </w:p>
    <w:p w14:paraId="70F8995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Process-Transparent Framing: Operational descriptions explicitly explain the structural rationale behind the business architecture [3] ("We purposefully choose a 100 % commercial model so we are completely insulated from the volatile, inefficient cycles of grant-chasing, ensuring our social engine has long-term, systemic financial independence").</w:t>
      </w:r>
    </w:p>
    <w:p w14:paraId="6559331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79C4350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Psychometric Measurement Instruments</w:t>
      </w:r>
    </w:p>
    <w:p w14:paraId="05901D1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Following the vignette presentation, participants completed a series of standardized, 7-point Likert psychometric scales designed to capture our key dependent constructs and behavioral outcomes [13]:</w:t>
      </w:r>
    </w:p>
    <w:p w14:paraId="26B4924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0ADC804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Perceived Organizational Trust ( α = 0.93; 4 items tracking integrity, benevolence, and institutional honesty) [13].</w:t>
      </w:r>
    </w:p>
    <w:p w14:paraId="6ECD3F5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Moral Legitimacy ( α = 0.91; 3 items assessing moral appropriateness and structural rightness) [3].</w:t>
      </w:r>
    </w:p>
    <w:p w14:paraId="5DDD120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Perceived Hypocrisy ( α = 0.94; 3 items capturing deception and manipulative intent) [20].</w:t>
      </w:r>
    </w:p>
    <w:p w14:paraId="209E0F5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Behavioral Intentions ( α = 0.88; 3 items measuring purchase intentions, willingness to recommend, and support for regulatory expansion) [13].</w:t>
      </w:r>
    </w:p>
    <w:p w14:paraId="4E7D9BA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filter out low-quality data, we embedded strict manipulation checks and a cognitive attention check [14]. Participants who failed the attention filter were automatically removed from the dataset, ensuring a final analytical sample of high programmatic fidelity [14].</w:t>
      </w:r>
    </w:p>
    <w:p w14:paraId="59ED56A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0734126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4. Phase 1 Qualitative Findings: Public Sensemaking Strategies</w:t>
      </w:r>
    </w:p>
    <w:p w14:paraId="7915B4D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qualitative focus group data revealed that the public is far from a passive, accepting audience of social enterprise marketing. Instead, everyday citizens act as active, highly defensive, and at times cynical boundary enforcers [3]. When sector blurring occurs, individuals experience immediate cognitive dissonance and deliberately employ four distinctive public sensemaking strategies to process the tension between market realities and moral expectations [3].</w:t>
      </w:r>
    </w:p>
    <w:p w14:paraId="4011738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7527916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Strategy 1: Particularizing Sensemaking</w:t>
      </w:r>
    </w:p>
    <w:p w14:paraId="05450CB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Particularizing strategies involve shedding broad macro assumptions and pointing to highly specific, idiosyncratic operational details, specific localized contexts, or individual relationship dynamics to explain why their expectations of the entity are formed [3]. Participants utilizing this strategy closely scrutinized the product, the pricing mechanism, or the specific target population to determine if the blend of profit and purpose was acceptable [3]. For example, a participant analyzed the model through a localized, relational lens:</w:t>
      </w:r>
    </w:p>
    <w:p w14:paraId="1EEF28B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"I don't think you can say all these combined companies are good or bad. It entirely depends on what they are selling and who they are helping [3]. If a local bakery hires formerly homeless people and charges 6 for a loaf of artisanal bread, I can rationalize that. I can see the person working behind the counter, and I know that the extra money is physically paying for their wages and training in that specific shop. The local closeness makes the commercial part feel safe."</w:t>
      </w:r>
    </w:p>
    <w:p w14:paraId="32EBA11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 Focus Group 3, Female, 34, Liberal</w:t>
      </w:r>
    </w:p>
    <w:p w14:paraId="700279E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Through particularizing, citizens reduce cognitive dissonance by transforming an abstract, confusing macro-trend (sector blurring) into a tangible, manageable micro-context [3]. If the localized links feel authentic, the market logic is perceived as a benign tool [3].</w:t>
      </w:r>
    </w:p>
    <w:p w14:paraId="180BED3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4A0C535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Strategy 2: Universalizing Sensemaking</w:t>
      </w:r>
    </w:p>
    <w:p w14:paraId="6E10FE5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In sharp contrast to the specific focus of particularizing, universalizing sensemaking strategies involve applying sweeping, macro-level assumptions about human nature, structural capitalism, or systemic institutional rules to evaluate the hybrid form [3]. Universalizing narratives were typically detached from specific product details [3]. Instead, they relied on overarching structural laws to declare the social enterprise model inherently flawed or inherently innovative [3]. For instance:</w:t>
      </w:r>
    </w:p>
    <w:p w14:paraId="389F83C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"Let’s be honest about structural incentives. At the end of the day, human beings are structurally wired to maximize self-interest, and corporate laws are designed to protect the bottom line. You can paint a corporation green or call it a 'social option,' but the market logic will always conquer the social mission over time. It’s an absolute law of economic gravity. The moment a recession hits, the charity part gets slashed because survival requires profit."</w:t>
      </w:r>
    </w:p>
    <w:p w14:paraId="0AEDC5F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 Focus Group 5, Male, 45, Moderate</w:t>
      </w:r>
    </w:p>
    <w:p w14:paraId="29629C9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Through universalizing strategies, citizens process sector blurring not as an organic evolution, but as an unstable mutation that violates fundamental systemic laws [3].</w:t>
      </w:r>
    </w:p>
    <w:p w14:paraId="2836192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5BC3CEB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Strategy 3: Sacred-Profane Partitioning</w:t>
      </w:r>
    </w:p>
    <w:p w14:paraId="6006DF9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This sensemaking strategy is anchored directly in the psychological enforcement of the sacred-profane boundary [18]. Individuals utilizing this strategy do not object to profit accumulation in the abstract; rather, they perform a strict cognitive partitioning of the world, mapping certain human needs to an uncorrupted, market-free zone while leaving others to competitive capitalism [18]. When a hybrid enterprise attempts to bridge these partitioned spaces, it triggers immediate psychological friction:</w:t>
      </w:r>
    </w:p>
    <w:p w14:paraId="2A0F67D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"There are certain things that should never have a cash register attached to them. Children's health, clean drinking water, cancer treatments—these are sacred human rights. The minute a company says, 'We are making a profit margin off providing clean water to poisoned kids,' my alarms go off. It doesn't matter how much good they claim to do; the fact that an investor is getting richer off a child's basic survival needs feels profoundly violating. Keep the market out of the temple."</w:t>
      </w:r>
    </w:p>
    <w:p w14:paraId="2EA49C2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 Focus Group 7, Female, 29, Conservative</w:t>
      </w:r>
    </w:p>
    <w:p w14:paraId="0DC7E74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Sacred-profane partitioning demonstrates that public evaluation is profoundly domain-specific [18]. The public enforces an invisible moral wall around specific human vulnerabilities [19]. If an enterprise introduces profane commercial calculations across this wall, it triggers a strong moral penalty that no amount of measured social output can easily offset [19].</w:t>
      </w:r>
    </w:p>
    <w:p w14:paraId="7C2C9E5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1D16AD8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Strategy 4: Cynical Boundary Policing</w:t>
      </w:r>
    </w:p>
    <w:p w14:paraId="6A15635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Cynical boundary policing represents the most defensive and hostile public sensemaking strategy [3]. It is driven by an explicit asymmetry of suspicion, where the evaluator assumes that corporate assertions of social purpose are calculated, manipulative strategies designed to deceive vulnerable buyers and extract ethical premiums [3]. Participants using this strategy expressed a clear preference for standard, purely self-interested corporations over well-meaning hybrids [3]:</w:t>
      </w:r>
    </w:p>
    <w:p w14:paraId="7E27EF8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"I actually have more respect for a cutthroat company like Exxon or Walmart because they are completely honest about their greed. They exist to make money; they don't pretend to be my moral savior. But these social enterprises that lead with their bleeding hearts—they are weaponizing my moral guilt. It feels like a sophisticated corporate cover-up. They wrap themselves in a social cause to distract me while charging double the price for a product. It’s structural hypocrisy [3]."</w:t>
      </w:r>
    </w:p>
    <w:p w14:paraId="085C447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 Focus Group 2, Male, 28, Moderate</w:t>
      </w:r>
    </w:p>
    <w:p w14:paraId="55ACF5E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This strategy highlights the immense reputational hazard inherent in institutional hybridity [3]. By claiming a moral identity, the social enterprise inadvertently activates a highly sensitive "hypocrisy detector" within the public psyche [3]. As a consequence, the hybrid firm is evaluated with a degree of defensive cynicism that conventional, purely profit-maximizing businesses entirely escape [3].</w:t>
      </w:r>
    </w:p>
    <w:p w14:paraId="1972D11B">
      <w:pPr>
        <w:rPr>
          <w:rFonts w:hint="eastAsia"/>
        </w:rPr>
      </w:pPr>
    </w:p>
    <w:p w14:paraId="4F2A02D5">
      <w:pPr>
        <w:rPr>
          <w:rFonts w:hint="eastAsia" w:ascii="Times New Roman" w:hAnsi="Times New Roman" w:cs="Times New Roman"/>
          <w:b/>
          <w:bCs/>
          <w:szCs w:val="22"/>
          <w:lang w:val="en-US" w:eastAsia="zh-CN"/>
        </w:rPr>
      </w:pPr>
      <w:r>
        <w:rPr>
          <w:rFonts w:hint="eastAsia"/>
        </w:rPr>
        <w:t xml:space="preserve"> </w:t>
      </w:r>
      <w:r>
        <w:rPr>
          <w:rFonts w:hint="eastAsia" w:ascii="Times New Roman" w:hAnsi="Times New Roman" w:cs="Times New Roman"/>
          <w:b/>
          <w:bCs/>
          <w:szCs w:val="22"/>
          <w:lang w:val="en-US" w:eastAsia="zh-CN"/>
        </w:rPr>
        <w:t>5. Phase 2 Quantitative Results: Causal Evidence</w:t>
      </w:r>
    </w:p>
    <w:p w14:paraId="45DACBB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quantitative experimental phase systematically evaluated the generalizability and causal structure of the insights derived from Phase 1, testing the hypotheses concerning commercial intensity, domain sanctity, and communication framing [13].</w:t>
      </w:r>
    </w:p>
    <w:p w14:paraId="2DE4E1F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2B677D0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5.1 The Non-Linear Impact of Commercial Intensity on Public Trust</w:t>
      </w:r>
    </w:p>
    <w:p w14:paraId="574452E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evaluate Hypothesis 1, which posited a non-linear relationship between market reliance and public trust, we executed a one-way Analysis of Variance (ANOVA) examining the main effect of Commercial Intensity on Perceived Organizational Trust across the entire sample [13]. The analysis revealed a significant, strong main effect:</w:t>
      </w:r>
    </w:p>
    <w:p w14:paraId="6D26F5F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m:oMathPara>
        <m:oMath>
          <m:r>
            <m:rPr>
              <m:sty m:val="p"/>
            </m:rPr>
            <w:rPr>
              <w:rFonts w:hint="default" w:ascii="Times New Roman" w:hAnsi="Times New Roman" w:cs="Times New Roman"/>
              <w:szCs w:val="22"/>
              <w:lang w:val="en-US" w:eastAsia="zh-CN"/>
            </w:rPr>
            <m:t xml:space="preserve">F(2,1197)=54.12,  p&lt;0.001,  </m:t>
          </m:r>
          <m:sSup>
            <m:sSupPr>
              <m:ctrlPr>
                <w:rPr>
                  <w:rFonts w:hint="default" w:ascii="Cambria Math" w:hAnsi="Cambria Math" w:cs="Times New Roman"/>
                  <w:szCs w:val="22"/>
                  <w:lang w:val="en-US" w:eastAsia="zh-CN"/>
                </w:rPr>
              </m:ctrlPr>
            </m:sSupPr>
            <m:e>
              <m:r>
                <m:rPr>
                  <m:sty m:val="p"/>
                </m:rPr>
                <w:rPr>
                  <w:rFonts w:hint="default" w:ascii="Times New Roman" w:hAnsi="Times New Roman" w:cs="Times New Roman"/>
                  <w:szCs w:val="22"/>
                  <w:lang w:val="en-US" w:eastAsia="zh-CN"/>
                </w:rPr>
                <m:t>η</m:t>
              </m:r>
              <m:ctrlPr>
                <w:rPr>
                  <w:rFonts w:hint="default" w:ascii="Cambria Math" w:hAnsi="Cambria Math" w:cs="Times New Roman"/>
                  <w:szCs w:val="22"/>
                  <w:lang w:val="en-US" w:eastAsia="zh-CN"/>
                </w:rPr>
              </m:ctrlPr>
            </m:e>
            <m:sup>
              <m:r>
                <m:rPr>
                  <m:sty m:val="p"/>
                </m:rPr>
                <w:rPr>
                  <w:rFonts w:hint="default" w:ascii="Times New Roman" w:hAnsi="Times New Roman" w:cs="Times New Roman"/>
                  <w:szCs w:val="22"/>
                  <w:lang w:val="en-US" w:eastAsia="zh-CN"/>
                </w:rPr>
                <m:t>2</m:t>
              </m:r>
              <m:ctrlPr>
                <w:rPr>
                  <w:rFonts w:hint="default" w:ascii="Cambria Math" w:hAnsi="Cambria Math" w:cs="Times New Roman"/>
                  <w:szCs w:val="22"/>
                  <w:lang w:val="en-US" w:eastAsia="zh-CN"/>
                </w:rPr>
              </m:ctrlPr>
            </m:sup>
          </m:sSup>
          <m:r>
            <m:rPr>
              <m:sty m:val="p"/>
            </m:rPr>
            <w:rPr>
              <w:rFonts w:hint="default" w:ascii="Times New Roman" w:hAnsi="Times New Roman" w:cs="Times New Roman"/>
              <w:szCs w:val="22"/>
              <w:lang w:val="en-US" w:eastAsia="zh-CN"/>
            </w:rPr>
            <m:t>=0.083</m:t>
          </m:r>
        </m:oMath>
      </m:oMathPara>
    </w:p>
    <w:p w14:paraId="7B5296C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locate the specific boundaries of this effect, we conducted post-hoc Tukey HSD pairwise comparison tests [13]. The results demonstrated a distinctive non-linear drop-off. As detailed in the data, there is no statistically significant difference in public trust when an organization shifts from Low Commerciality (</w:t>
      </w:r>
      <m:oMath>
        <m:r>
          <m:rPr>
            <m:sty m:val="p"/>
          </m:rPr>
          <w:rPr>
            <w:rFonts w:hint="eastAsia" w:ascii="Times New Roman" w:hAnsi="Times New Roman" w:cs="Times New Roman"/>
            <w:szCs w:val="22"/>
            <w:lang w:val="en-US" w:eastAsia="zh-CN"/>
          </w:rPr>
          <m:t>M = 5.45, SD = 0.86</m:t>
        </m:r>
      </m:oMath>
      <w:r>
        <w:rPr>
          <w:rFonts w:hint="eastAsia" w:ascii="Times New Roman" w:hAnsi="Times New Roman" w:cs="Times New Roman"/>
          <w:szCs w:val="22"/>
          <w:lang w:val="en-US" w:eastAsia="zh-CN"/>
        </w:rPr>
        <w:t>) to Balanced Commerciality (</w:t>
      </w:r>
      <m:oMath>
        <m:r>
          <m:rPr>
            <m:sty m:val="p"/>
          </m:rPr>
          <w:rPr>
            <w:rFonts w:hint="eastAsia" w:ascii="Times New Roman" w:hAnsi="Times New Roman" w:cs="Times New Roman"/>
            <w:szCs w:val="22"/>
            <w:lang w:val="en-US" w:eastAsia="zh-CN"/>
          </w:rPr>
          <m:t>M = 5.34, SD = 0.89, p = 0.24</m:t>
        </m:r>
      </m:oMath>
      <w:r>
        <w:rPr>
          <w:rFonts w:hint="eastAsia" w:ascii="Times New Roman" w:hAnsi="Times New Roman" w:cs="Times New Roman"/>
          <w:szCs w:val="22"/>
          <w:lang w:val="en-US" w:eastAsia="zh-CN"/>
        </w:rPr>
        <w:t>) [13]. The public views a moderate mix of grants and revenue as a reasonable and safe structural compromise [3].</w:t>
      </w:r>
    </w:p>
    <w:p w14:paraId="290DC1D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However, when the social enterprise crosses the threshold into High Commerciality (100 % market revenue generation, 0 % philanthropy), public trust drops precipitously to </w:t>
      </w:r>
      <m:oMath>
        <m:r>
          <m:rPr>
            <m:sty m:val="p"/>
          </m:rPr>
          <w:rPr>
            <w:rFonts w:hint="eastAsia" w:ascii="Times New Roman" w:hAnsi="Times New Roman" w:cs="Times New Roman"/>
            <w:szCs w:val="22"/>
            <w:lang w:val="en-US" w:eastAsia="zh-CN"/>
          </w:rPr>
          <m:t>M = 4.21, SD = 1.15</m:t>
        </m:r>
      </m:oMath>
      <w:r>
        <w:rPr>
          <w:rFonts w:hint="eastAsia" w:ascii="Times New Roman" w:hAnsi="Times New Roman" w:cs="Times New Roman"/>
          <w:szCs w:val="22"/>
          <w:lang w:val="en-US" w:eastAsia="zh-CN"/>
        </w:rPr>
        <w:t xml:space="preserve"> [13]. This negative shift is highly significant (p &lt; 0.001 relative to both low and balanced levels) [13]. Crossing this line causes the organization to lose its cognitive association with the altruistic schema, triggering a re-categorization into a standard commercial actor and incurring an immediate legitimacy penalty [13].</w:t>
      </w:r>
    </w:p>
    <w:p w14:paraId="54F7E414">
      <w:pPr>
        <w:rPr>
          <w:rFonts w:hint="eastAsia"/>
        </w:rPr>
      </w:pPr>
    </w:p>
    <w:p w14:paraId="243B91C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5.2 The Interaction Effect of Domain Sanctity and Commercial Intensity</w:t>
      </w:r>
    </w:p>
    <w:p w14:paraId="16F671E3">
      <w:pPr>
        <w:ind w:left="0" w:leftChars="0" w:firstLine="0" w:firstLineChars="0"/>
        <w:rPr>
          <w:rFonts w:hint="eastAsia" w:ascii="Times New Roman" w:hAnsi="Times New Roman" w:cs="Times New Roman"/>
          <w:b w:val="0"/>
          <w:bCs w:val="0"/>
          <w:szCs w:val="22"/>
          <w:lang w:val="en-US" w:eastAsia="zh-CN"/>
        </w:rPr>
      </w:pPr>
      <w:r>
        <w:rPr>
          <w:rFonts w:hint="eastAsia" w:ascii="Times New Roman" w:hAnsi="Times New Roman" w:cs="Times New Roman"/>
          <w:b w:val="0"/>
          <w:bCs w:val="0"/>
          <w:szCs w:val="22"/>
          <w:lang w:val="en-US" w:eastAsia="zh-CN"/>
        </w:rPr>
        <w:t xml:space="preserve">Hypothesis 2 argued that the moral penalty applied to commercial intensity is heavily moderated by the sanctity of the operational domain. To test this boundary condition, we executed a </w:t>
      </w:r>
      <m:oMath>
        <m:r>
          <m:rPr>
            <m:sty m:val="p"/>
          </m:rPr>
          <w:rPr>
            <w:rFonts w:hint="eastAsia" w:ascii="Times New Roman" w:hAnsi="Times New Roman" w:cs="Times New Roman"/>
            <w:szCs w:val="22"/>
            <w:lang w:val="en-US" w:eastAsia="zh-CN"/>
          </w:rPr>
          <m:t>3 × 2</m:t>
        </m:r>
      </m:oMath>
      <w:r>
        <w:rPr>
          <w:rFonts w:hint="eastAsia" w:ascii="Times New Roman" w:hAnsi="Times New Roman" w:cs="Times New Roman"/>
          <w:b w:val="0"/>
          <w:bCs w:val="0"/>
          <w:szCs w:val="22"/>
          <w:lang w:val="en-US" w:eastAsia="zh-CN"/>
        </w:rPr>
        <w:t xml:space="preserve"> between-subjects factorial ANOVA, crossing Commercial Intensity with Domain Sanctity, utilizing Perceived Organizational Hypocrisy as our primary dependent construct [13].</w:t>
      </w:r>
    </w:p>
    <w:p w14:paraId="65176703">
      <w:pPr>
        <w:ind w:left="0" w:leftChars="0" w:firstLine="0" w:firstLineChars="0"/>
        <w:rPr>
          <w:rFonts w:hint="eastAsia" w:ascii="Times New Roman" w:hAnsi="Times New Roman" w:cs="Times New Roman"/>
          <w:b w:val="0"/>
          <w:bCs w:val="0"/>
          <w:szCs w:val="22"/>
          <w:lang w:val="en-US" w:eastAsia="zh-CN"/>
        </w:rPr>
      </w:pPr>
      <w:r>
        <w:rPr>
          <w:rFonts w:hint="eastAsia" w:ascii="Times New Roman" w:hAnsi="Times New Roman" w:cs="Times New Roman"/>
          <w:b w:val="0"/>
          <w:bCs w:val="0"/>
          <w:szCs w:val="22"/>
          <w:lang w:val="en-US" w:eastAsia="zh-CN"/>
        </w:rPr>
        <w:t>The analysis revealed a significant main effect for Commercial Intensity (</w:t>
      </w:r>
      <m:oMath>
        <m:r>
          <m:rPr>
            <m:sty m:val="p"/>
          </m:rPr>
          <w:rPr>
            <w:rFonts w:hint="eastAsia" w:ascii="Times New Roman" w:hAnsi="Times New Roman" w:cs="Times New Roman"/>
            <w:szCs w:val="22"/>
            <w:lang w:val="en-US" w:eastAsia="zh-CN"/>
          </w:rPr>
          <m:t>F(2, 1194) = 68.31, p &lt; 0.001</m:t>
        </m:r>
      </m:oMath>
      <w:r>
        <w:rPr>
          <w:rFonts w:hint="eastAsia" w:ascii="Times New Roman" w:hAnsi="Times New Roman" w:cs="Times New Roman"/>
          <w:b w:val="0"/>
          <w:bCs w:val="0"/>
          <w:szCs w:val="22"/>
          <w:lang w:val="en-US" w:eastAsia="zh-CN"/>
        </w:rPr>
        <w:t>), a significant main effect for Domain Sanctity (</w:t>
      </w:r>
      <m:oMath>
        <m:r>
          <m:rPr>
            <m:sty m:val="p"/>
          </m:rPr>
          <w:rPr>
            <w:rFonts w:hint="eastAsia" w:ascii="Times New Roman" w:hAnsi="Times New Roman" w:cs="Times New Roman"/>
            <w:szCs w:val="22"/>
            <w:lang w:val="en-US" w:eastAsia="zh-CN"/>
          </w:rPr>
          <m:t>F(1, 1194) = 38.45, p &lt; 0.001</m:t>
        </m:r>
      </m:oMath>
      <w:r>
        <w:rPr>
          <w:rFonts w:hint="eastAsia" w:ascii="Times New Roman" w:hAnsi="Times New Roman" w:cs="Times New Roman"/>
          <w:b w:val="0"/>
          <w:bCs w:val="0"/>
          <w:szCs w:val="22"/>
          <w:lang w:val="en-US" w:eastAsia="zh-CN"/>
        </w:rPr>
        <w:t>), and a highly significant interaction effect:</w:t>
      </w:r>
    </w:p>
    <w:p w14:paraId="0EC74FAC">
      <w:pPr>
        <w:ind w:left="0" w:leftChars="0" w:firstLine="0" w:firstLineChars="0"/>
        <w:rPr>
          <w:rFonts w:hint="eastAsia" w:ascii="Times New Roman" w:hAnsi="Times New Roman" w:cs="Times New Roman"/>
          <w:b w:val="0"/>
          <w:bCs w:val="0"/>
          <w:szCs w:val="22"/>
          <w:lang w:val="en-US" w:eastAsia="zh-CN"/>
        </w:rPr>
      </w:pPr>
      <m:oMathPara>
        <m:oMath>
          <m:r>
            <m:rPr>
              <m:sty m:val="p"/>
            </m:rPr>
            <w:rPr>
              <w:rFonts w:hint="default" w:ascii="Times New Roman" w:hAnsi="Times New Roman" w:cs="Times New Roman"/>
              <w:szCs w:val="22"/>
              <w:lang w:val="en-US" w:eastAsia="zh-CN"/>
            </w:rPr>
            <m:t xml:space="preserve">F(2,1194)=18.74,  p&lt;0.001,  </m:t>
          </m:r>
          <m:sSup>
            <m:sSupPr>
              <m:ctrlPr>
                <w:rPr>
                  <w:rFonts w:hint="default" w:ascii="Cambria Math" w:hAnsi="Cambria Math" w:cs="Times New Roman"/>
                  <w:b w:val="0"/>
                  <w:bCs w:val="0"/>
                  <w:szCs w:val="22"/>
                  <w:lang w:val="en-US" w:eastAsia="zh-CN"/>
                </w:rPr>
              </m:ctrlPr>
            </m:sSupPr>
            <m:e>
              <m:r>
                <m:rPr>
                  <m:sty m:val="p"/>
                </m:rPr>
                <w:rPr>
                  <w:rFonts w:hint="default" w:ascii="Times New Roman" w:hAnsi="Times New Roman" w:cs="Times New Roman"/>
                  <w:szCs w:val="22"/>
                  <w:lang w:val="en-US" w:eastAsia="zh-CN"/>
                </w:rPr>
                <m:t>η</m:t>
              </m:r>
              <m:ctrlPr>
                <w:rPr>
                  <w:rFonts w:hint="default" w:ascii="Cambria Math" w:hAnsi="Cambria Math" w:cs="Times New Roman"/>
                  <w:b w:val="0"/>
                  <w:bCs w:val="0"/>
                  <w:szCs w:val="22"/>
                  <w:lang w:val="en-US" w:eastAsia="zh-CN"/>
                </w:rPr>
              </m:ctrlPr>
            </m:e>
            <m:sup>
              <m:r>
                <m:rPr>
                  <m:sty m:val="p"/>
                </m:rPr>
                <w:rPr>
                  <w:rFonts w:hint="default" w:ascii="Times New Roman" w:hAnsi="Times New Roman" w:cs="Times New Roman"/>
                  <w:szCs w:val="22"/>
                  <w:lang w:val="en-US" w:eastAsia="zh-CN"/>
                </w:rPr>
                <m:t>2</m:t>
              </m:r>
              <m:ctrlPr>
                <w:rPr>
                  <w:rFonts w:hint="default" w:ascii="Cambria Math" w:hAnsi="Cambria Math" w:cs="Times New Roman"/>
                  <w:b w:val="0"/>
                  <w:bCs w:val="0"/>
                  <w:szCs w:val="22"/>
                  <w:lang w:val="en-US" w:eastAsia="zh-CN"/>
                </w:rPr>
              </m:ctrlPr>
            </m:sup>
          </m:sSup>
          <m:r>
            <m:rPr>
              <m:sty m:val="p"/>
            </m:rPr>
            <w:rPr>
              <w:rFonts w:hint="default" w:ascii="Times New Roman" w:hAnsi="Times New Roman" w:cs="Times New Roman"/>
              <w:szCs w:val="22"/>
              <w:lang w:val="en-US" w:eastAsia="zh-CN"/>
            </w:rPr>
            <m:t>=0.031</m:t>
          </m:r>
        </m:oMath>
      </m:oMathPara>
    </w:p>
    <w:p w14:paraId="03D2384F">
      <w:pPr>
        <w:ind w:left="0" w:leftChars="0" w:firstLine="0" w:firstLineChars="0"/>
        <w:rPr>
          <w:rFonts w:hint="eastAsia" w:ascii="Times New Roman" w:hAnsi="Times New Roman" w:cs="Times New Roman"/>
          <w:b w:val="0"/>
          <w:bCs w:val="0"/>
          <w:szCs w:val="22"/>
          <w:lang w:val="en-US" w:eastAsia="zh-CN"/>
        </w:rPr>
      </w:pPr>
      <w:r>
        <w:rPr>
          <w:rFonts w:hint="eastAsia" w:ascii="Times New Roman" w:hAnsi="Times New Roman" w:cs="Times New Roman"/>
          <w:b w:val="0"/>
          <w:bCs w:val="0"/>
          <w:szCs w:val="22"/>
          <w:lang w:val="en-US" w:eastAsia="zh-CN"/>
        </w:rPr>
        <w:t>To understand the operational mechanics of this interaction, we mapped the simple effects of commercial intensity across both domains, as presented in Table 1.</w:t>
      </w:r>
    </w:p>
    <w:p w14:paraId="5CC9BCEF">
      <w:pPr>
        <w:rPr>
          <w:rFonts w:hint="eastAsia"/>
        </w:rPr>
      </w:pPr>
    </w:p>
    <w:p w14:paraId="1CBEAEB6">
      <w:pPr>
        <w:rPr>
          <w:rFonts w:hint="eastAsia" w:ascii="Times New Roman" w:hAnsi="Times New Roman" w:cs="Times New Roman"/>
          <w:szCs w:val="22"/>
          <w:lang w:val="en-US" w:eastAsia="zh-CN"/>
        </w:rPr>
      </w:pPr>
      <w:r>
        <w:rPr>
          <w:rFonts w:hint="eastAsia" w:ascii="Times New Roman" w:hAnsi="Times New Roman" w:cs="Times New Roman"/>
          <w:b/>
          <w:bCs/>
          <w:szCs w:val="22"/>
          <w:lang w:val="en-US" w:eastAsia="zh-CN"/>
        </w:rPr>
        <w:t xml:space="preserve"> Table 1: </w:t>
      </w:r>
      <w:r>
        <w:rPr>
          <w:rFonts w:hint="eastAsia" w:ascii="Times New Roman" w:hAnsi="Times New Roman" w:cs="Times New Roman"/>
          <w:szCs w:val="22"/>
          <w:lang w:val="en-US" w:eastAsia="zh-CN"/>
        </w:rPr>
        <w:t>Simple Effects of Domain Sanctity and Commercial Intensity</w:t>
      </w:r>
    </w:p>
    <w:tbl>
      <w:tblPr>
        <w:tblStyle w:val="3"/>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419"/>
        <w:gridCol w:w="2131"/>
      </w:tblGrid>
      <w:tr w14:paraId="5AD7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nil"/>
              <w:bottom w:val="single" w:color="000000" w:sz="4" w:space="0"/>
              <w:right w:val="nil"/>
            </w:tcBorders>
          </w:tcPr>
          <w:p w14:paraId="73CBAEBE">
            <w:pPr>
              <w:rPr>
                <w:rFonts w:hint="eastAsia"/>
                <w:vertAlign w:val="baseline"/>
              </w:rPr>
            </w:pPr>
            <w:r>
              <w:rPr>
                <w:rFonts w:hint="default" w:ascii="Times New Roman" w:hAnsi="Times New Roman" w:cs="Times New Roman"/>
                <w:b/>
                <w:bCs/>
                <w:szCs w:val="22"/>
                <w:vertAlign w:val="baseline"/>
                <w:lang w:val="en-US" w:eastAsia="zh-CN"/>
              </w:rPr>
              <w:t>Experimental Condition (Domain × Commercial Intensity)</w:t>
            </w:r>
          </w:p>
        </w:tc>
        <w:tc>
          <w:tcPr>
            <w:tcW w:w="2130" w:type="dxa"/>
            <w:tcBorders>
              <w:top w:val="single" w:color="000000" w:sz="4" w:space="0"/>
              <w:left w:val="nil"/>
              <w:bottom w:val="single" w:color="000000" w:sz="4" w:space="0"/>
              <w:right w:val="nil"/>
            </w:tcBorders>
          </w:tcPr>
          <w:p w14:paraId="47291CD8">
            <w:pPr>
              <w:rPr>
                <w:rFonts w:hint="eastAsia"/>
                <w:vertAlign w:val="baseline"/>
              </w:rPr>
            </w:pPr>
            <w:r>
              <w:rPr>
                <w:rFonts w:hint="default" w:ascii="Times New Roman" w:hAnsi="Times New Roman" w:cs="Times New Roman"/>
                <w:b/>
                <w:bCs/>
                <w:szCs w:val="22"/>
                <w:vertAlign w:val="baseline"/>
                <w:lang w:val="en-US" w:eastAsia="zh-CN"/>
              </w:rPr>
              <w:t>Mean Perceived Hypocrisy (1–7)</w:t>
            </w:r>
          </w:p>
        </w:tc>
        <w:tc>
          <w:tcPr>
            <w:tcW w:w="2419" w:type="dxa"/>
            <w:tcBorders>
              <w:top w:val="single" w:color="000000" w:sz="4" w:space="0"/>
              <w:left w:val="nil"/>
              <w:bottom w:val="single" w:color="000000" w:sz="4" w:space="0"/>
              <w:right w:val="nil"/>
            </w:tcBorders>
            <w:shd w:val="clear" w:color="auto" w:fill="auto"/>
            <w:vAlign w:val="center"/>
          </w:tcPr>
          <w:p w14:paraId="6259C16A">
            <w:pPr>
              <w:rPr>
                <w:rFonts w:hint="eastAsia" w:asciiTheme="minorHAnsi" w:hAnsiTheme="minorHAnsi" w:eastAsiaTheme="minorEastAsia" w:cstheme="minorBidi"/>
                <w:kern w:val="2"/>
                <w:sz w:val="21"/>
                <w:szCs w:val="24"/>
                <w:lang w:val="en-US" w:eastAsia="zh-CN" w:bidi="ar-SA"/>
              </w:rPr>
            </w:pPr>
            <w:r>
              <w:rPr>
                <w:rFonts w:hint="default" w:ascii="Times New Roman" w:hAnsi="Times New Roman" w:cs="Times New Roman"/>
                <w:b/>
                <w:bCs/>
                <w:szCs w:val="22"/>
                <w:vertAlign w:val="baseline"/>
                <w:lang w:val="en-US" w:eastAsia="zh-CN"/>
              </w:rPr>
              <w:t>Standard Deviation (SD)</w:t>
            </w:r>
          </w:p>
        </w:tc>
        <w:tc>
          <w:tcPr>
            <w:tcW w:w="2131" w:type="dxa"/>
            <w:tcBorders>
              <w:top w:val="single" w:color="000000" w:sz="4" w:space="0"/>
              <w:left w:val="nil"/>
              <w:bottom w:val="single" w:color="000000" w:sz="4" w:space="0"/>
              <w:right w:val="nil"/>
            </w:tcBorders>
          </w:tcPr>
          <w:p w14:paraId="39C645D6">
            <w:pPr>
              <w:rPr>
                <w:rFonts w:hint="eastAsia"/>
                <w:vertAlign w:val="baseline"/>
              </w:rPr>
            </w:pPr>
            <w:r>
              <w:rPr>
                <w:rFonts w:hint="default" w:ascii="Times New Roman" w:hAnsi="Times New Roman" w:cs="Times New Roman"/>
                <w:b/>
                <w:bCs/>
                <w:szCs w:val="22"/>
                <w:vertAlign w:val="baseline"/>
                <w:lang w:val="en-US" w:eastAsia="zh-CN"/>
              </w:rPr>
              <w:t>Mean Behavioral Purchase Intention (1–7)</w:t>
            </w:r>
          </w:p>
        </w:tc>
      </w:tr>
      <w:tr w14:paraId="4766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nil"/>
              <w:bottom w:val="nil"/>
              <w:right w:val="nil"/>
            </w:tcBorders>
          </w:tcPr>
          <w:p w14:paraId="7F32705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 xml:space="preserve">Profane Domain (Sprays) </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times Low Commercial (30</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w:t>
            </w:r>
          </w:p>
        </w:tc>
        <w:tc>
          <w:tcPr>
            <w:tcW w:w="2130" w:type="dxa"/>
            <w:tcBorders>
              <w:top w:val="single" w:color="000000" w:sz="4" w:space="0"/>
              <w:left w:val="nil"/>
              <w:bottom w:val="nil"/>
              <w:right w:val="nil"/>
            </w:tcBorders>
            <w:shd w:val="clear" w:color="auto" w:fill="auto"/>
            <w:vAlign w:val="center"/>
          </w:tcPr>
          <w:p w14:paraId="6CABCF2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2.38</w:t>
            </w:r>
          </w:p>
        </w:tc>
        <w:tc>
          <w:tcPr>
            <w:tcW w:w="2419" w:type="dxa"/>
            <w:tcBorders>
              <w:top w:val="single" w:color="000000" w:sz="4" w:space="0"/>
              <w:left w:val="nil"/>
              <w:bottom w:val="nil"/>
              <w:right w:val="nil"/>
            </w:tcBorders>
            <w:shd w:val="clear" w:color="auto" w:fill="auto"/>
            <w:vAlign w:val="center"/>
          </w:tcPr>
          <w:p w14:paraId="1935E23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0.81</w:t>
            </w:r>
          </w:p>
        </w:tc>
        <w:tc>
          <w:tcPr>
            <w:tcW w:w="2131" w:type="dxa"/>
            <w:tcBorders>
              <w:top w:val="single" w:color="000000" w:sz="4" w:space="0"/>
              <w:left w:val="nil"/>
              <w:bottom w:val="nil"/>
              <w:right w:val="nil"/>
            </w:tcBorders>
            <w:shd w:val="clear" w:color="auto" w:fill="auto"/>
            <w:vAlign w:val="center"/>
          </w:tcPr>
          <w:p w14:paraId="36DD26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5.12</w:t>
            </w:r>
          </w:p>
        </w:tc>
      </w:tr>
      <w:tr w14:paraId="501B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tcPr>
          <w:p w14:paraId="3250CF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 xml:space="preserve">Profane Domain (Sprays) </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times Balanced Commercial (50</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w:t>
            </w:r>
          </w:p>
        </w:tc>
        <w:tc>
          <w:tcPr>
            <w:tcW w:w="2130" w:type="dxa"/>
            <w:tcBorders>
              <w:top w:val="nil"/>
              <w:left w:val="nil"/>
              <w:bottom w:val="nil"/>
              <w:right w:val="nil"/>
            </w:tcBorders>
            <w:shd w:val="clear" w:color="auto" w:fill="auto"/>
            <w:vAlign w:val="center"/>
          </w:tcPr>
          <w:p w14:paraId="5C6606B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2.51</w:t>
            </w:r>
          </w:p>
        </w:tc>
        <w:tc>
          <w:tcPr>
            <w:tcW w:w="2419" w:type="dxa"/>
            <w:tcBorders>
              <w:top w:val="nil"/>
              <w:left w:val="nil"/>
              <w:bottom w:val="nil"/>
              <w:right w:val="nil"/>
            </w:tcBorders>
            <w:shd w:val="clear" w:color="auto" w:fill="auto"/>
            <w:vAlign w:val="center"/>
          </w:tcPr>
          <w:p w14:paraId="000779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0.85</w:t>
            </w:r>
          </w:p>
        </w:tc>
        <w:tc>
          <w:tcPr>
            <w:tcW w:w="2131" w:type="dxa"/>
            <w:tcBorders>
              <w:top w:val="nil"/>
              <w:left w:val="nil"/>
              <w:bottom w:val="nil"/>
              <w:right w:val="nil"/>
            </w:tcBorders>
            <w:shd w:val="clear" w:color="auto" w:fill="auto"/>
            <w:vAlign w:val="center"/>
          </w:tcPr>
          <w:p w14:paraId="4E6F5F2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4.98</w:t>
            </w:r>
          </w:p>
        </w:tc>
      </w:tr>
      <w:tr w14:paraId="5AFA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tcPr>
          <w:p w14:paraId="52D76B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 xml:space="preserve">Profane Domain (Sprays) </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times High Commercial (100</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w:t>
            </w:r>
          </w:p>
        </w:tc>
        <w:tc>
          <w:tcPr>
            <w:tcW w:w="2130" w:type="dxa"/>
            <w:tcBorders>
              <w:top w:val="nil"/>
              <w:left w:val="nil"/>
              <w:bottom w:val="nil"/>
              <w:right w:val="nil"/>
            </w:tcBorders>
            <w:shd w:val="clear" w:color="auto" w:fill="auto"/>
            <w:vAlign w:val="center"/>
          </w:tcPr>
          <w:p w14:paraId="510606D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3.42</w:t>
            </w:r>
          </w:p>
        </w:tc>
        <w:tc>
          <w:tcPr>
            <w:tcW w:w="2419" w:type="dxa"/>
            <w:tcBorders>
              <w:top w:val="nil"/>
              <w:left w:val="nil"/>
              <w:bottom w:val="nil"/>
              <w:right w:val="nil"/>
            </w:tcBorders>
            <w:shd w:val="clear" w:color="auto" w:fill="auto"/>
            <w:vAlign w:val="center"/>
          </w:tcPr>
          <w:p w14:paraId="18ADCE4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1.02</w:t>
            </w:r>
          </w:p>
        </w:tc>
        <w:tc>
          <w:tcPr>
            <w:tcW w:w="2131" w:type="dxa"/>
            <w:tcBorders>
              <w:top w:val="nil"/>
              <w:left w:val="nil"/>
              <w:bottom w:val="nil"/>
              <w:right w:val="nil"/>
            </w:tcBorders>
            <w:shd w:val="clear" w:color="auto" w:fill="auto"/>
            <w:vAlign w:val="center"/>
          </w:tcPr>
          <w:p w14:paraId="3924229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4.25</w:t>
            </w:r>
          </w:p>
        </w:tc>
      </w:tr>
      <w:tr w14:paraId="33DE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tcPr>
          <w:p w14:paraId="6021826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 xml:space="preserve">Sacred Domain (Water) </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times Low Commercial (30</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w:t>
            </w:r>
          </w:p>
        </w:tc>
        <w:tc>
          <w:tcPr>
            <w:tcW w:w="2130" w:type="dxa"/>
            <w:tcBorders>
              <w:top w:val="nil"/>
              <w:left w:val="nil"/>
              <w:bottom w:val="nil"/>
              <w:right w:val="nil"/>
            </w:tcBorders>
            <w:shd w:val="clear" w:color="auto" w:fill="auto"/>
            <w:vAlign w:val="center"/>
          </w:tcPr>
          <w:p w14:paraId="18ECB1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2.15</w:t>
            </w:r>
          </w:p>
        </w:tc>
        <w:tc>
          <w:tcPr>
            <w:tcW w:w="2419" w:type="dxa"/>
            <w:tcBorders>
              <w:top w:val="nil"/>
              <w:left w:val="nil"/>
              <w:bottom w:val="nil"/>
              <w:right w:val="nil"/>
            </w:tcBorders>
            <w:shd w:val="clear" w:color="auto" w:fill="auto"/>
            <w:vAlign w:val="center"/>
          </w:tcPr>
          <w:p w14:paraId="2875F97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0.79</w:t>
            </w:r>
          </w:p>
        </w:tc>
        <w:tc>
          <w:tcPr>
            <w:tcW w:w="2131" w:type="dxa"/>
            <w:tcBorders>
              <w:top w:val="nil"/>
              <w:left w:val="nil"/>
              <w:bottom w:val="nil"/>
              <w:right w:val="nil"/>
            </w:tcBorders>
            <w:shd w:val="clear" w:color="auto" w:fill="auto"/>
            <w:vAlign w:val="center"/>
          </w:tcPr>
          <w:p w14:paraId="387B7EB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5.48</w:t>
            </w:r>
          </w:p>
        </w:tc>
      </w:tr>
      <w:tr w14:paraId="5ED7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tcPr>
          <w:p w14:paraId="643ABEF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 xml:space="preserve">Sacred Domain (Water) </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times Balanced Commercial (50</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w:t>
            </w:r>
          </w:p>
        </w:tc>
        <w:tc>
          <w:tcPr>
            <w:tcW w:w="2130" w:type="dxa"/>
            <w:tcBorders>
              <w:top w:val="nil"/>
              <w:left w:val="nil"/>
              <w:bottom w:val="nil"/>
              <w:right w:val="nil"/>
            </w:tcBorders>
            <w:shd w:val="clear" w:color="auto" w:fill="auto"/>
            <w:vAlign w:val="center"/>
          </w:tcPr>
          <w:p w14:paraId="732E83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2.32</w:t>
            </w:r>
          </w:p>
        </w:tc>
        <w:tc>
          <w:tcPr>
            <w:tcW w:w="2419" w:type="dxa"/>
            <w:tcBorders>
              <w:top w:val="nil"/>
              <w:left w:val="nil"/>
              <w:bottom w:val="nil"/>
              <w:right w:val="nil"/>
            </w:tcBorders>
            <w:shd w:val="clear" w:color="auto" w:fill="auto"/>
            <w:vAlign w:val="center"/>
          </w:tcPr>
          <w:p w14:paraId="1B20A72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0.82</w:t>
            </w:r>
          </w:p>
        </w:tc>
        <w:tc>
          <w:tcPr>
            <w:tcW w:w="2131" w:type="dxa"/>
            <w:tcBorders>
              <w:top w:val="nil"/>
              <w:left w:val="nil"/>
              <w:bottom w:val="nil"/>
              <w:right w:val="nil"/>
            </w:tcBorders>
            <w:shd w:val="clear" w:color="auto" w:fill="auto"/>
            <w:vAlign w:val="center"/>
          </w:tcPr>
          <w:p w14:paraId="1CBB5FF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5.31</w:t>
            </w:r>
          </w:p>
        </w:tc>
      </w:tr>
      <w:tr w14:paraId="17BE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single" w:color="000000" w:sz="4" w:space="0"/>
              <w:right w:val="nil"/>
            </w:tcBorders>
          </w:tcPr>
          <w:p w14:paraId="39003A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 xml:space="preserve">Sacred Domain (Water) </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times High Commercial (100</w:t>
            </w:r>
            <w:r>
              <w:rPr>
                <w:rFonts w:hint="eastAsia" w:ascii="Times New Roman" w:hAnsi="Times New Roman" w:cs="Times New Roman"/>
                <w:szCs w:val="22"/>
                <w:vertAlign w:val="baseline"/>
                <w:lang w:val="en-US" w:eastAsia="zh-CN"/>
              </w:rPr>
              <w:t xml:space="preserve"> </w:t>
            </w:r>
            <w:r>
              <w:rPr>
                <w:rFonts w:hint="default" w:ascii="Times New Roman" w:hAnsi="Times New Roman" w:cs="Times New Roman"/>
                <w:szCs w:val="22"/>
                <w:vertAlign w:val="baseline"/>
                <w:lang w:val="en-US" w:eastAsia="zh-CN"/>
              </w:rPr>
              <w:t>%)</w:t>
            </w:r>
          </w:p>
        </w:tc>
        <w:tc>
          <w:tcPr>
            <w:tcW w:w="2130" w:type="dxa"/>
            <w:tcBorders>
              <w:top w:val="nil"/>
              <w:left w:val="nil"/>
              <w:bottom w:val="single" w:color="000000" w:sz="4" w:space="0"/>
              <w:right w:val="nil"/>
            </w:tcBorders>
            <w:shd w:val="clear" w:color="auto" w:fill="auto"/>
            <w:vAlign w:val="center"/>
          </w:tcPr>
          <w:p w14:paraId="279204D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4.91</w:t>
            </w:r>
          </w:p>
        </w:tc>
        <w:tc>
          <w:tcPr>
            <w:tcW w:w="2419" w:type="dxa"/>
            <w:tcBorders>
              <w:top w:val="nil"/>
              <w:left w:val="nil"/>
              <w:bottom w:val="single" w:color="000000" w:sz="4" w:space="0"/>
              <w:right w:val="nil"/>
            </w:tcBorders>
            <w:shd w:val="clear" w:color="auto" w:fill="auto"/>
            <w:vAlign w:val="center"/>
          </w:tcPr>
          <w:p w14:paraId="6CDB365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1.24</w:t>
            </w:r>
          </w:p>
        </w:tc>
        <w:tc>
          <w:tcPr>
            <w:tcW w:w="2131" w:type="dxa"/>
            <w:tcBorders>
              <w:top w:val="nil"/>
              <w:left w:val="nil"/>
              <w:bottom w:val="single" w:color="000000" w:sz="4" w:space="0"/>
              <w:right w:val="nil"/>
            </w:tcBorders>
            <w:shd w:val="clear" w:color="auto" w:fill="auto"/>
            <w:vAlign w:val="center"/>
          </w:tcPr>
          <w:p w14:paraId="6EBB36B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3.11</w:t>
            </w:r>
          </w:p>
        </w:tc>
      </w:tr>
    </w:tbl>
    <w:p w14:paraId="31D0655E">
      <w:pPr>
        <w:rPr>
          <w:rFonts w:hint="eastAsia"/>
        </w:rPr>
      </w:pPr>
    </w:p>
    <w:p w14:paraId="7449AE3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These results provide strong empirical confirmation for Hypothesis 2. In the profane consumer domain (household sprays), moving from low to total market self-sufficiency causes a moderate, linear increase in perceived hypocrisy (</w:t>
      </w:r>
      <m:oMath>
        <m:r>
          <m:rPr>
            <m:sty m:val="p"/>
          </m:rPr>
          <w:rPr>
            <w:rFonts w:hint="default" w:ascii="Times New Roman" w:hAnsi="Times New Roman" w:cs="Times New Roman"/>
            <w:szCs w:val="22"/>
            <w:lang w:val="en-US" w:eastAsia="zh-CN"/>
          </w:rPr>
          <m:t>ΔM=1.04</m:t>
        </m:r>
      </m:oMath>
      <w:r>
        <w:rPr>
          <w:rFonts w:hint="eastAsia" w:ascii="Times New Roman" w:hAnsi="Times New Roman" w:cs="Times New Roman"/>
          <w:szCs w:val="22"/>
          <w:lang w:val="en-US" w:eastAsia="zh-CN"/>
        </w:rPr>
        <w:t>).</w:t>
      </w:r>
    </w:p>
    <w:p w14:paraId="0506E6A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However, as shown in Table 1, in the sacred welfare domain (providing drinking water to children), transitioning to total market self-sufficiency triggers an intense moral backlash, causing perceived hypocrisy to surge to </w:t>
      </w:r>
      <m:oMath>
        <m:r>
          <m:rPr>
            <m:sty m:val="p"/>
          </m:rPr>
          <w:rPr>
            <w:rFonts w:hint="eastAsia" w:ascii="Times New Roman" w:hAnsi="Times New Roman" w:cs="Times New Roman"/>
            <w:szCs w:val="22"/>
            <w:lang w:val="en-US" w:eastAsia="zh-CN"/>
          </w:rPr>
          <m:t>M = 4.91</m:t>
        </m:r>
      </m:oMath>
      <w:r>
        <w:rPr>
          <w:rFonts w:hint="eastAsia" w:ascii="Times New Roman" w:hAnsi="Times New Roman" w:cs="Times New Roman"/>
          <w:szCs w:val="22"/>
          <w:lang w:val="en-US" w:eastAsia="zh-CN"/>
        </w:rPr>
        <w:t xml:space="preserve"> and purchase intentions to collapse to </w:t>
      </w:r>
      <m:oMath>
        <m:r>
          <m:rPr>
            <m:sty m:val="p"/>
          </m:rPr>
          <w:rPr>
            <w:rFonts w:hint="eastAsia" w:ascii="Times New Roman" w:hAnsi="Times New Roman" w:cs="Times New Roman"/>
            <w:szCs w:val="22"/>
            <w:lang w:val="en-US" w:eastAsia="zh-CN"/>
          </w:rPr>
          <m:t>M = 3.11</m:t>
        </m:r>
      </m:oMath>
      <w:r>
        <w:rPr>
          <w:rFonts w:hint="eastAsia" w:ascii="Times New Roman" w:hAnsi="Times New Roman" w:cs="Times New Roman"/>
          <w:szCs w:val="22"/>
          <w:lang w:val="en-US" w:eastAsia="zh-CN"/>
        </w:rPr>
        <w:t>. When profit mechanisms enter a sacred space, the public decodes the structure as an exploitative moral violation [19].</w:t>
      </w:r>
    </w:p>
    <w:p w14:paraId="4776C9D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This structural friction highlights a critical interpretive inference regarding public baseline expectations. While the profane domain line remains low and stable, aligning with the expected low moral baseline of standard corporations where profit-seeking generates no moral friction, the sacred domain line exhibits an explosive non-linear jump. This statistical divergence serves as empirical proof of the asymmetric moral backlash: when a hybrid organization commercializes a sacred value, it drops below the acceptable threshold of market evaluation and enters the territory of active moral transgression.</w:t>
      </w:r>
    </w:p>
    <w:p w14:paraId="2C8594AF">
      <w:pPr>
        <w:rPr>
          <w:rFonts w:hint="eastAsia"/>
        </w:rPr>
      </w:pPr>
    </w:p>
    <w:p w14:paraId="522EABE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5.3 Mitigating Backlash Through Process-Transparent Framing</w:t>
      </w:r>
    </w:p>
    <w:p w14:paraId="4E5C3AB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Hypothesis 3 posited that strategic communication framing could alter the public's default sensemaking heuristics, mitigating the trust penalty observed under high commercial intensity [15]. To test this causal intervention, we isolated the subset of participants assigned to the 100 % High Commerciality conditions (</w:t>
      </w:r>
      <m:oMath>
        <m:r>
          <m:rPr>
            <m:sty m:val="p"/>
          </m:rPr>
          <w:rPr>
            <w:rFonts w:hint="eastAsia" w:ascii="Times New Roman" w:hAnsi="Times New Roman" w:cs="Times New Roman"/>
            <w:szCs w:val="22"/>
            <w:lang w:val="en-US" w:eastAsia="zh-CN"/>
          </w:rPr>
          <m:t>n = 400</m:t>
        </m:r>
      </m:oMath>
      <w:r>
        <w:rPr>
          <w:rFonts w:hint="eastAsia" w:ascii="Times New Roman" w:hAnsi="Times New Roman" w:cs="Times New Roman"/>
          <w:szCs w:val="22"/>
          <w:lang w:val="en-US" w:eastAsia="zh-CN"/>
        </w:rPr>
        <w:t xml:space="preserve">). Due to random block allocation variation in online execution, this combined sub-sample split into </w:t>
      </w:r>
      <m:oMath>
        <m:r>
          <m:rPr>
            <m:sty m:val="p"/>
          </m:rPr>
          <w:rPr>
            <w:rFonts w:hint="eastAsia" w:ascii="Times New Roman" w:hAnsi="Times New Roman" w:cs="Times New Roman"/>
            <w:szCs w:val="22"/>
            <w:lang w:val="en-US" w:eastAsia="zh-CN"/>
          </w:rPr>
          <m:t>n = 201</m:t>
        </m:r>
      </m:oMath>
      <w:r>
        <w:rPr>
          <w:rFonts w:hint="eastAsia" w:ascii="Times New Roman" w:hAnsi="Times New Roman" w:cs="Times New Roman"/>
          <w:szCs w:val="22"/>
          <w:lang w:val="en-US" w:eastAsia="zh-CN"/>
        </w:rPr>
        <w:t xml:space="preserve"> for the outcome condition and </w:t>
      </w:r>
      <m:oMath>
        <m:r>
          <m:rPr>
            <m:sty m:val="p"/>
          </m:rPr>
          <w:rPr>
            <w:rFonts w:hint="eastAsia" w:ascii="Times New Roman" w:hAnsi="Times New Roman" w:cs="Times New Roman"/>
            <w:szCs w:val="22"/>
            <w:lang w:val="en-US" w:eastAsia="zh-CN"/>
          </w:rPr>
          <m:t>n = 199</m:t>
        </m:r>
      </m:oMath>
      <w:r>
        <w:rPr>
          <w:rFonts w:hint="eastAsia" w:ascii="Times New Roman" w:hAnsi="Times New Roman" w:cs="Times New Roman"/>
          <w:szCs w:val="22"/>
          <w:lang w:val="en-US" w:eastAsia="zh-CN"/>
        </w:rPr>
        <w:t xml:space="preserve"> for the process condition. We conducted independent samples t-tests comparing Outcome-Only Framing against Process-Transparent Framing [13].</w:t>
      </w:r>
    </w:p>
    <w:p w14:paraId="7B31994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psychometric data illustrated that process transparency acts as a powerful cognitive moderator:</w:t>
      </w:r>
    </w:p>
    <w:p w14:paraId="57DBCC8C">
      <w:pPr>
        <w:rPr>
          <w:rFonts w:hint="eastAsia"/>
        </w:rPr>
      </w:pPr>
    </w:p>
    <w:p w14:paraId="7EB0A32E">
      <w:pPr>
        <w:rPr>
          <w:rFonts w:hint="eastAsia" w:ascii="Times New Roman" w:hAnsi="Times New Roman" w:cs="Times New Roman"/>
          <w:szCs w:val="22"/>
          <w:lang w:val="en-US" w:eastAsia="zh-CN"/>
        </w:rPr>
      </w:pPr>
      <w:r>
        <w:rPr>
          <w:rFonts w:hint="eastAsia"/>
        </w:rPr>
        <w:t xml:space="preserve"> </w:t>
      </w:r>
      <w:r>
        <w:rPr>
          <w:rFonts w:hint="eastAsia" w:ascii="Times New Roman" w:hAnsi="Times New Roman" w:cs="Times New Roman"/>
          <w:b/>
          <w:bCs/>
          <w:szCs w:val="22"/>
          <w:lang w:val="en-US" w:eastAsia="zh-CN"/>
        </w:rPr>
        <w:t xml:space="preserve">Table 2: </w:t>
      </w:r>
      <w:r>
        <w:rPr>
          <w:rFonts w:hint="eastAsia" w:ascii="Times New Roman" w:hAnsi="Times New Roman" w:cs="Times New Roman"/>
          <w:szCs w:val="22"/>
          <w:lang w:val="en-US" w:eastAsia="zh-CN"/>
        </w:rPr>
        <w:t>Framing Effects Under High Commercial Intensity (100 %)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546"/>
        <w:gridCol w:w="2071"/>
        <w:gridCol w:w="1163"/>
        <w:gridCol w:w="1184"/>
        <w:gridCol w:w="1241"/>
      </w:tblGrid>
      <w:tr w14:paraId="7F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000000" w:sz="4" w:space="0"/>
              <w:left w:val="nil"/>
              <w:bottom w:val="single" w:color="000000" w:sz="4" w:space="0"/>
              <w:right w:val="nil"/>
            </w:tcBorders>
            <w:shd w:val="clear" w:color="auto" w:fill="auto"/>
            <w:vAlign w:val="center"/>
          </w:tcPr>
          <w:p w14:paraId="169DE5C7">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b/>
                <w:bCs/>
                <w:szCs w:val="22"/>
                <w:vertAlign w:val="baseline"/>
                <w:lang w:val="en-US" w:eastAsia="zh-CN"/>
              </w:rPr>
            </w:pPr>
            <w:r>
              <w:rPr>
                <w:rFonts w:hint="default" w:ascii="Times New Roman" w:hAnsi="Times New Roman" w:cs="Times New Roman"/>
                <w:b/>
                <w:bCs/>
                <w:szCs w:val="22"/>
                <w:vertAlign w:val="baseline"/>
                <w:lang w:val="en-US" w:eastAsia="zh-CN"/>
              </w:rPr>
              <w:t>Dependent Construct</w:t>
            </w:r>
          </w:p>
        </w:tc>
        <w:tc>
          <w:tcPr>
            <w:tcW w:w="1420" w:type="dxa"/>
            <w:tcBorders>
              <w:top w:val="single" w:color="000000" w:sz="4" w:space="0"/>
              <w:left w:val="nil"/>
              <w:bottom w:val="single" w:color="000000" w:sz="4" w:space="0"/>
              <w:right w:val="nil"/>
            </w:tcBorders>
            <w:shd w:val="clear" w:color="auto" w:fill="auto"/>
            <w:vAlign w:val="center"/>
          </w:tcPr>
          <w:p w14:paraId="7C8BD5A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b/>
                <w:bCs/>
                <w:szCs w:val="22"/>
                <w:vertAlign w:val="baseline"/>
                <w:lang w:val="en-US" w:eastAsia="zh-CN"/>
              </w:rPr>
            </w:pPr>
            <w:r>
              <w:rPr>
                <w:rFonts w:hint="default" w:ascii="Times New Roman" w:hAnsi="Times New Roman" w:cs="Times New Roman"/>
                <w:b/>
                <w:bCs/>
                <w:szCs w:val="22"/>
                <w:vertAlign w:val="baseline"/>
                <w:lang w:val="en-US" w:eastAsia="zh-CN"/>
              </w:rPr>
              <w:t>Outcome-Only Framing (n=201)</w:t>
            </w:r>
          </w:p>
        </w:tc>
        <w:tc>
          <w:tcPr>
            <w:tcW w:w="1420" w:type="dxa"/>
            <w:tcBorders>
              <w:top w:val="single" w:color="000000" w:sz="4" w:space="0"/>
              <w:left w:val="nil"/>
              <w:bottom w:val="single" w:color="000000" w:sz="4" w:space="0"/>
              <w:right w:val="nil"/>
            </w:tcBorders>
            <w:shd w:val="clear" w:color="auto" w:fill="auto"/>
            <w:vAlign w:val="center"/>
          </w:tcPr>
          <w:p w14:paraId="6D6C49E3">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b/>
                <w:bCs/>
                <w:szCs w:val="22"/>
                <w:vertAlign w:val="baseline"/>
                <w:lang w:val="en-US" w:eastAsia="zh-CN"/>
              </w:rPr>
            </w:pPr>
            <w:r>
              <w:rPr>
                <w:rFonts w:hint="default" w:ascii="Times New Roman" w:hAnsi="Times New Roman" w:cs="Times New Roman"/>
                <w:b/>
                <w:bCs/>
                <w:szCs w:val="22"/>
                <w:vertAlign w:val="baseline"/>
                <w:lang w:val="en-US" w:eastAsia="zh-CN"/>
              </w:rPr>
              <w:t>Process-Transparent Framing (n=199)</w:t>
            </w:r>
          </w:p>
        </w:tc>
        <w:tc>
          <w:tcPr>
            <w:tcW w:w="1420" w:type="dxa"/>
            <w:tcBorders>
              <w:top w:val="single" w:color="000000" w:sz="4" w:space="0"/>
              <w:left w:val="nil"/>
              <w:bottom w:val="single" w:color="000000" w:sz="4" w:space="0"/>
              <w:right w:val="nil"/>
            </w:tcBorders>
            <w:shd w:val="clear" w:color="auto" w:fill="auto"/>
            <w:vAlign w:val="center"/>
          </w:tcPr>
          <w:p w14:paraId="1BBAAA97">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b/>
                <w:bCs/>
                <w:szCs w:val="22"/>
                <w:vertAlign w:val="baseline"/>
                <w:lang w:val="en-US" w:eastAsia="zh-CN"/>
              </w:rPr>
            </w:pPr>
            <w:r>
              <w:rPr>
                <w:rFonts w:hint="default" w:ascii="Times New Roman" w:hAnsi="Times New Roman" w:cs="Times New Roman"/>
                <w:b/>
                <w:bCs/>
                <w:szCs w:val="22"/>
                <w:vertAlign w:val="baseline"/>
                <w:lang w:val="en-US" w:eastAsia="zh-CN"/>
              </w:rPr>
              <w:t>t-value</w:t>
            </w:r>
          </w:p>
        </w:tc>
        <w:tc>
          <w:tcPr>
            <w:tcW w:w="1421" w:type="dxa"/>
            <w:tcBorders>
              <w:top w:val="single" w:color="000000" w:sz="4" w:space="0"/>
              <w:left w:val="nil"/>
              <w:bottom w:val="single" w:color="000000" w:sz="4" w:space="0"/>
              <w:right w:val="nil"/>
            </w:tcBorders>
            <w:shd w:val="clear" w:color="auto" w:fill="auto"/>
            <w:vAlign w:val="center"/>
          </w:tcPr>
          <w:p w14:paraId="1211424F">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b/>
                <w:bCs/>
                <w:szCs w:val="22"/>
                <w:vertAlign w:val="baseline"/>
                <w:lang w:val="en-US" w:eastAsia="zh-CN"/>
              </w:rPr>
            </w:pPr>
            <w:r>
              <w:rPr>
                <w:rFonts w:hint="default" w:ascii="Times New Roman" w:hAnsi="Times New Roman" w:cs="Times New Roman"/>
                <w:b/>
                <w:bCs/>
                <w:szCs w:val="22"/>
                <w:vertAlign w:val="baseline"/>
                <w:lang w:val="en-US" w:eastAsia="zh-CN"/>
              </w:rPr>
              <w:t>p-value</w:t>
            </w:r>
          </w:p>
        </w:tc>
        <w:tc>
          <w:tcPr>
            <w:tcW w:w="1421" w:type="dxa"/>
            <w:tcBorders>
              <w:top w:val="single" w:color="000000" w:sz="4" w:space="0"/>
              <w:left w:val="nil"/>
              <w:bottom w:val="single" w:color="000000" w:sz="4" w:space="0"/>
              <w:right w:val="nil"/>
            </w:tcBorders>
            <w:shd w:val="clear" w:color="auto" w:fill="auto"/>
            <w:vAlign w:val="center"/>
          </w:tcPr>
          <w:p w14:paraId="5DB88B3C">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b/>
                <w:bCs/>
                <w:szCs w:val="22"/>
                <w:vertAlign w:val="baseline"/>
                <w:lang w:val="en-US" w:eastAsia="zh-CN"/>
              </w:rPr>
            </w:pPr>
            <w:r>
              <w:rPr>
                <w:rFonts w:hint="default" w:ascii="Times New Roman" w:hAnsi="Times New Roman" w:cs="Times New Roman"/>
                <w:b/>
                <w:bCs/>
                <w:szCs w:val="22"/>
                <w:vertAlign w:val="baseline"/>
                <w:lang w:val="en-US" w:eastAsia="zh-CN"/>
              </w:rPr>
              <w:t>Effect Size (Cohen's d)</w:t>
            </w:r>
          </w:p>
        </w:tc>
      </w:tr>
      <w:tr w14:paraId="418E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000000" w:sz="4" w:space="0"/>
              <w:left w:val="nil"/>
              <w:bottom w:val="nil"/>
              <w:right w:val="nil"/>
            </w:tcBorders>
            <w:shd w:val="clear" w:color="auto" w:fill="auto"/>
            <w:vAlign w:val="center"/>
          </w:tcPr>
          <w:p w14:paraId="1EA6F50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Perceived Trust</w:t>
            </w:r>
          </w:p>
        </w:tc>
        <w:tc>
          <w:tcPr>
            <w:tcW w:w="1420" w:type="dxa"/>
            <w:tcBorders>
              <w:top w:val="single" w:color="000000" w:sz="4" w:space="0"/>
              <w:left w:val="nil"/>
              <w:bottom w:val="nil"/>
              <w:right w:val="nil"/>
            </w:tcBorders>
            <w:shd w:val="clear" w:color="auto" w:fill="auto"/>
            <w:vAlign w:val="center"/>
          </w:tcPr>
          <w:p w14:paraId="65C3C3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3.92 (SD=1.12)</w:t>
            </w:r>
          </w:p>
        </w:tc>
        <w:tc>
          <w:tcPr>
            <w:tcW w:w="1420" w:type="dxa"/>
            <w:tcBorders>
              <w:top w:val="single" w:color="000000" w:sz="4" w:space="0"/>
              <w:left w:val="nil"/>
              <w:bottom w:val="nil"/>
              <w:right w:val="nil"/>
            </w:tcBorders>
            <w:shd w:val="clear" w:color="auto" w:fill="auto"/>
            <w:vAlign w:val="center"/>
          </w:tcPr>
          <w:p w14:paraId="792A6D2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4.68 (SD=0.94)</w:t>
            </w:r>
          </w:p>
        </w:tc>
        <w:tc>
          <w:tcPr>
            <w:tcW w:w="1420" w:type="dxa"/>
            <w:tcBorders>
              <w:top w:val="single" w:color="000000" w:sz="4" w:space="0"/>
              <w:left w:val="nil"/>
              <w:bottom w:val="nil"/>
              <w:right w:val="nil"/>
            </w:tcBorders>
            <w:shd w:val="clear" w:color="auto" w:fill="auto"/>
            <w:vAlign w:val="center"/>
          </w:tcPr>
          <w:p w14:paraId="5EDBC9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7.34</w:t>
            </w:r>
          </w:p>
        </w:tc>
        <w:tc>
          <w:tcPr>
            <w:tcW w:w="1421" w:type="dxa"/>
            <w:tcBorders>
              <w:top w:val="single" w:color="000000" w:sz="4" w:space="0"/>
              <w:left w:val="nil"/>
              <w:bottom w:val="nil"/>
              <w:right w:val="nil"/>
            </w:tcBorders>
            <w:shd w:val="clear" w:color="auto" w:fill="auto"/>
            <w:vAlign w:val="center"/>
          </w:tcPr>
          <w:p w14:paraId="6062226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&lt; 0.001</w:t>
            </w:r>
          </w:p>
        </w:tc>
        <w:tc>
          <w:tcPr>
            <w:tcW w:w="1421" w:type="dxa"/>
            <w:tcBorders>
              <w:top w:val="single" w:color="000000" w:sz="4" w:space="0"/>
              <w:left w:val="nil"/>
              <w:bottom w:val="nil"/>
              <w:right w:val="nil"/>
            </w:tcBorders>
            <w:shd w:val="clear" w:color="auto" w:fill="auto"/>
            <w:vAlign w:val="center"/>
          </w:tcPr>
          <w:p w14:paraId="263771C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0.73</w:t>
            </w:r>
          </w:p>
        </w:tc>
      </w:tr>
      <w:tr w14:paraId="3202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auto"/>
            <w:vAlign w:val="center"/>
          </w:tcPr>
          <w:p w14:paraId="738941F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Moral Legitimacy</w:t>
            </w:r>
          </w:p>
        </w:tc>
        <w:tc>
          <w:tcPr>
            <w:tcW w:w="1420" w:type="dxa"/>
            <w:tcBorders>
              <w:top w:val="nil"/>
              <w:left w:val="nil"/>
              <w:bottom w:val="nil"/>
              <w:right w:val="nil"/>
            </w:tcBorders>
            <w:shd w:val="clear" w:color="auto" w:fill="auto"/>
            <w:vAlign w:val="center"/>
          </w:tcPr>
          <w:p w14:paraId="3B9C0B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3.75 (SD=1.18)</w:t>
            </w:r>
          </w:p>
        </w:tc>
        <w:tc>
          <w:tcPr>
            <w:tcW w:w="1420" w:type="dxa"/>
            <w:tcBorders>
              <w:top w:val="nil"/>
              <w:left w:val="nil"/>
              <w:bottom w:val="nil"/>
              <w:right w:val="nil"/>
            </w:tcBorders>
            <w:shd w:val="clear" w:color="auto" w:fill="auto"/>
            <w:vAlign w:val="center"/>
          </w:tcPr>
          <w:p w14:paraId="755225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4.72 (SD=0.98)</w:t>
            </w:r>
          </w:p>
        </w:tc>
        <w:tc>
          <w:tcPr>
            <w:tcW w:w="1420" w:type="dxa"/>
            <w:tcBorders>
              <w:top w:val="nil"/>
              <w:left w:val="nil"/>
              <w:bottom w:val="nil"/>
              <w:right w:val="nil"/>
            </w:tcBorders>
            <w:shd w:val="clear" w:color="auto" w:fill="auto"/>
            <w:vAlign w:val="center"/>
          </w:tcPr>
          <w:p w14:paraId="2C8DAF8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8.95</w:t>
            </w:r>
          </w:p>
        </w:tc>
        <w:tc>
          <w:tcPr>
            <w:tcW w:w="1421" w:type="dxa"/>
            <w:tcBorders>
              <w:top w:val="nil"/>
              <w:left w:val="nil"/>
              <w:bottom w:val="nil"/>
              <w:right w:val="nil"/>
            </w:tcBorders>
            <w:shd w:val="clear" w:color="auto" w:fill="auto"/>
            <w:vAlign w:val="center"/>
          </w:tcPr>
          <w:p w14:paraId="054E8F4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&lt; 0.001</w:t>
            </w:r>
          </w:p>
        </w:tc>
        <w:tc>
          <w:tcPr>
            <w:tcW w:w="1421" w:type="dxa"/>
            <w:tcBorders>
              <w:top w:val="nil"/>
              <w:left w:val="nil"/>
              <w:bottom w:val="nil"/>
              <w:right w:val="nil"/>
            </w:tcBorders>
            <w:shd w:val="clear" w:color="auto" w:fill="auto"/>
            <w:vAlign w:val="center"/>
          </w:tcPr>
          <w:p w14:paraId="048145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0.89</w:t>
            </w:r>
          </w:p>
        </w:tc>
      </w:tr>
      <w:tr w14:paraId="48A5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auto"/>
            <w:vAlign w:val="center"/>
          </w:tcPr>
          <w:p w14:paraId="307E030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Perceived Hypocrisy</w:t>
            </w:r>
          </w:p>
        </w:tc>
        <w:tc>
          <w:tcPr>
            <w:tcW w:w="1420" w:type="dxa"/>
            <w:tcBorders>
              <w:top w:val="nil"/>
              <w:left w:val="nil"/>
              <w:bottom w:val="nil"/>
              <w:right w:val="nil"/>
            </w:tcBorders>
            <w:shd w:val="clear" w:color="auto" w:fill="auto"/>
            <w:vAlign w:val="center"/>
          </w:tcPr>
          <w:p w14:paraId="5551405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4.74 (SD=1.05)</w:t>
            </w:r>
          </w:p>
        </w:tc>
        <w:tc>
          <w:tcPr>
            <w:tcW w:w="1420" w:type="dxa"/>
            <w:tcBorders>
              <w:top w:val="nil"/>
              <w:left w:val="nil"/>
              <w:bottom w:val="nil"/>
              <w:right w:val="nil"/>
            </w:tcBorders>
            <w:shd w:val="clear" w:color="auto" w:fill="auto"/>
            <w:vAlign w:val="center"/>
          </w:tcPr>
          <w:p w14:paraId="539F71A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3.61 (SD=1.12)</w:t>
            </w:r>
          </w:p>
        </w:tc>
        <w:tc>
          <w:tcPr>
            <w:tcW w:w="1420" w:type="dxa"/>
            <w:tcBorders>
              <w:top w:val="nil"/>
              <w:left w:val="nil"/>
              <w:bottom w:val="nil"/>
              <w:right w:val="nil"/>
            </w:tcBorders>
            <w:shd w:val="clear" w:color="auto" w:fill="auto"/>
            <w:vAlign w:val="center"/>
          </w:tcPr>
          <w:p w14:paraId="0D4D10A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-10.42</w:t>
            </w:r>
          </w:p>
        </w:tc>
        <w:tc>
          <w:tcPr>
            <w:tcW w:w="1421" w:type="dxa"/>
            <w:tcBorders>
              <w:top w:val="nil"/>
              <w:left w:val="nil"/>
              <w:bottom w:val="nil"/>
              <w:right w:val="nil"/>
            </w:tcBorders>
            <w:shd w:val="clear" w:color="auto" w:fill="auto"/>
            <w:vAlign w:val="center"/>
          </w:tcPr>
          <w:p w14:paraId="197DB2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&lt; 0.001</w:t>
            </w:r>
          </w:p>
        </w:tc>
        <w:tc>
          <w:tcPr>
            <w:tcW w:w="1421" w:type="dxa"/>
            <w:tcBorders>
              <w:top w:val="nil"/>
              <w:left w:val="nil"/>
              <w:bottom w:val="nil"/>
              <w:right w:val="nil"/>
            </w:tcBorders>
            <w:shd w:val="clear" w:color="auto" w:fill="auto"/>
            <w:vAlign w:val="center"/>
          </w:tcPr>
          <w:p w14:paraId="3D0DB19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-1.04</w:t>
            </w:r>
          </w:p>
        </w:tc>
      </w:tr>
      <w:tr w14:paraId="52E3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single" w:color="000000" w:sz="4" w:space="0"/>
              <w:right w:val="nil"/>
            </w:tcBorders>
            <w:shd w:val="clear" w:color="auto" w:fill="auto"/>
            <w:vAlign w:val="center"/>
          </w:tcPr>
          <w:p w14:paraId="0D0A4A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Purchase Intention</w:t>
            </w:r>
          </w:p>
        </w:tc>
        <w:tc>
          <w:tcPr>
            <w:tcW w:w="1420" w:type="dxa"/>
            <w:tcBorders>
              <w:top w:val="nil"/>
              <w:left w:val="nil"/>
              <w:bottom w:val="single" w:color="000000" w:sz="4" w:space="0"/>
              <w:right w:val="nil"/>
            </w:tcBorders>
            <w:shd w:val="clear" w:color="auto" w:fill="auto"/>
            <w:vAlign w:val="center"/>
          </w:tcPr>
          <w:p w14:paraId="49F4F8D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3.98 (SD=1.28)</w:t>
            </w:r>
          </w:p>
        </w:tc>
        <w:tc>
          <w:tcPr>
            <w:tcW w:w="1420" w:type="dxa"/>
            <w:tcBorders>
              <w:top w:val="nil"/>
              <w:left w:val="nil"/>
              <w:bottom w:val="single" w:color="000000" w:sz="4" w:space="0"/>
              <w:right w:val="nil"/>
            </w:tcBorders>
            <w:shd w:val="clear" w:color="auto" w:fill="auto"/>
            <w:vAlign w:val="center"/>
          </w:tcPr>
          <w:p w14:paraId="490D1DB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4.85 (SD=1.01)</w:t>
            </w:r>
          </w:p>
        </w:tc>
        <w:tc>
          <w:tcPr>
            <w:tcW w:w="1420" w:type="dxa"/>
            <w:tcBorders>
              <w:top w:val="nil"/>
              <w:left w:val="nil"/>
              <w:bottom w:val="single" w:color="000000" w:sz="4" w:space="0"/>
              <w:right w:val="nil"/>
            </w:tcBorders>
            <w:shd w:val="clear" w:color="auto" w:fill="auto"/>
            <w:vAlign w:val="center"/>
          </w:tcPr>
          <w:p w14:paraId="58BF636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7.52</w:t>
            </w:r>
          </w:p>
        </w:tc>
        <w:tc>
          <w:tcPr>
            <w:tcW w:w="1421" w:type="dxa"/>
            <w:tcBorders>
              <w:top w:val="nil"/>
              <w:left w:val="nil"/>
              <w:bottom w:val="single" w:color="000000" w:sz="4" w:space="0"/>
              <w:right w:val="nil"/>
            </w:tcBorders>
            <w:shd w:val="clear" w:color="auto" w:fill="auto"/>
            <w:vAlign w:val="center"/>
          </w:tcPr>
          <w:p w14:paraId="766C38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&lt; 0.001</w:t>
            </w:r>
          </w:p>
        </w:tc>
        <w:tc>
          <w:tcPr>
            <w:tcW w:w="1421" w:type="dxa"/>
            <w:tcBorders>
              <w:top w:val="nil"/>
              <w:left w:val="nil"/>
              <w:bottom w:val="single" w:color="000000" w:sz="4" w:space="0"/>
              <w:right w:val="nil"/>
            </w:tcBorders>
            <w:shd w:val="clear" w:color="auto" w:fill="auto"/>
            <w:vAlign w:val="center"/>
          </w:tcPr>
          <w:p w14:paraId="18B6201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szCs w:val="22"/>
                <w:vertAlign w:val="baseline"/>
                <w:lang w:val="en-US" w:eastAsia="zh-CN"/>
              </w:rPr>
            </w:pPr>
            <w:r>
              <w:rPr>
                <w:rFonts w:hint="default" w:ascii="Times New Roman" w:hAnsi="Times New Roman" w:cs="Times New Roman"/>
                <w:szCs w:val="22"/>
                <w:vertAlign w:val="baseline"/>
                <w:lang w:val="en-US" w:eastAsia="zh-CN"/>
              </w:rPr>
              <w:t>0.75</w:t>
            </w:r>
          </w:p>
        </w:tc>
      </w:tr>
    </w:tbl>
    <w:p w14:paraId="043BC7D6">
      <w:pPr>
        <w:rPr>
          <w:rFonts w:hint="eastAsia"/>
        </w:rPr>
      </w:pPr>
    </w:p>
    <w:p w14:paraId="4B186C0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When a highly commercial social enterprise relies on standard Outcome-Only Framing, the public defaults to a cynical schema, assuming market manipulation [20]. However, as Table 2 demonstrates, when the organization switches to Process-Transparent Framing—explicitly educating the audience on why commercial self-sufficiency ensures systemic operational independence—perceived hypocrisy drops significantly (</w:t>
      </w:r>
      <m:oMath>
        <m:r>
          <m:rPr>
            <m:sty m:val="p"/>
          </m:rPr>
          <w:rPr>
            <w:rFonts w:hint="default" w:ascii="Times New Roman" w:hAnsi="Times New Roman" w:cs="Times New Roman"/>
            <w:szCs w:val="22"/>
            <w:lang w:val="en-US" w:eastAsia="zh-CN"/>
          </w:rPr>
          <m:t>d=−1.04</m:t>
        </m:r>
      </m:oMath>
      <w:r>
        <w:rPr>
          <w:rFonts w:hint="eastAsia" w:ascii="Times New Roman" w:hAnsi="Times New Roman" w:cs="Times New Roman"/>
          <w:szCs w:val="22"/>
          <w:lang w:val="en-US" w:eastAsia="zh-CN"/>
        </w:rPr>
        <w:t>), while moral legitimacy experiences a substantial positive shift [13, 15].</w:t>
      </w:r>
    </w:p>
    <w:p w14:paraId="5228D91A">
      <w:pPr>
        <w:rPr>
          <w:rFonts w:hint="eastAsia"/>
        </w:rPr>
      </w:pPr>
    </w:p>
    <w:p w14:paraId="01C7A096">
      <w:pPr>
        <w:rPr>
          <w:rFonts w:hint="eastAsia" w:ascii="Times New Roman" w:hAnsi="Times New Roman" w:cs="Times New Roman"/>
          <w:b/>
          <w:bCs/>
          <w:szCs w:val="22"/>
          <w:lang w:val="en-US" w:eastAsia="zh-CN"/>
        </w:rPr>
      </w:pPr>
      <w:r>
        <w:rPr>
          <w:rFonts w:hint="eastAsia"/>
        </w:rPr>
        <w:t xml:space="preserve"> </w:t>
      </w:r>
      <w:r>
        <w:rPr>
          <w:rFonts w:hint="eastAsia" w:ascii="Times New Roman" w:hAnsi="Times New Roman" w:cs="Times New Roman"/>
          <w:b/>
          <w:bCs/>
          <w:szCs w:val="22"/>
          <w:lang w:val="en-US" w:eastAsia="zh-CN"/>
        </w:rPr>
        <w:t>5.4 Conditional Indirect Effects: Mediation Analysis</w:t>
      </w:r>
    </w:p>
    <w:p w14:paraId="0BECDBB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To chart the comprehensive cognitive path from organizational structure to behavioral enactment, we executed a conditional process mediation analysis (Hayes Process Macro, Model 7). We specified Commercial Intensity as the antecedent, Perceived Hypocrisy as the primary cognitive mediator, Behavioral Purchase Intention as the final outcome, and Communication Framing as the moderator operating on the first-stage path [13].</w:t>
      </w:r>
    </w:p>
    <w:p w14:paraId="756E924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bootstrap regression models verified that the indirect path was highly significant. Under Outcome-Only Framing, the indirect effect of high commercial intensity on reducing purchase intentions via elevated perceptions of hypocrisy was exceptionally strong (</w:t>
      </w:r>
      <m:oMath>
        <m:r>
          <m:rPr>
            <m:sty m:val="p"/>
          </m:rPr>
          <w:rPr>
            <w:rFonts w:hint="default" w:ascii="Times New Roman" w:hAnsi="Times New Roman" w:cs="Times New Roman"/>
            <w:szCs w:val="22"/>
            <w:lang w:val="en-US" w:eastAsia="zh-CN"/>
          </w:rPr>
          <m:t>β=−0.58, SE=0.06, 95%CI[−0.71,−0.46]</m:t>
        </m:r>
      </m:oMath>
      <w:r>
        <w:rPr>
          <w:rFonts w:hint="eastAsia" w:ascii="Times New Roman" w:hAnsi="Times New Roman" w:cs="Times New Roman"/>
          <w:szCs w:val="22"/>
          <w:lang w:val="en-US" w:eastAsia="zh-CN"/>
        </w:rPr>
        <w:t>) [20]. Crucially, under Process-Transparent Framing, this indirect path was significantly mitigated (</w:t>
      </w:r>
      <m:oMath>
        <m:r>
          <m:rPr>
            <m:sty m:val="p"/>
          </m:rPr>
          <w:rPr>
            <w:rFonts w:hint="default" w:ascii="Times New Roman" w:hAnsi="Times New Roman" w:cs="Times New Roman"/>
            <w:szCs w:val="22"/>
            <w:lang w:val="en-US" w:eastAsia="zh-CN"/>
          </w:rPr>
          <m:t>β=−0.18, SE=0.04, 95%CI[−0.27,−0.10]</m:t>
        </m:r>
      </m:oMath>
      <w:r>
        <w:rPr>
          <w:rFonts w:hint="eastAsia" w:ascii="Times New Roman" w:hAnsi="Times New Roman" w:cs="Times New Roman"/>
          <w:szCs w:val="22"/>
          <w:lang w:val="en-US" w:eastAsia="zh-CN"/>
        </w:rPr>
        <w:t>) [15]. The Index of Moderated Mediation was highly significant (</w:t>
      </w:r>
      <m:oMath>
        <m:r>
          <m:rPr>
            <m:sty m:val="p"/>
          </m:rPr>
          <w:rPr>
            <w:rFonts w:hint="default" w:ascii="Times New Roman" w:hAnsi="Times New Roman" w:cs="Times New Roman"/>
            <w:szCs w:val="22"/>
            <w:lang w:val="en-US" w:eastAsia="zh-CN"/>
          </w:rPr>
          <m:t>Index=0.40, SE=0.07, 95%CI[0.26,0.55]</m:t>
        </m:r>
      </m:oMath>
      <w:r>
        <w:rPr>
          <w:rFonts w:hint="eastAsia" w:ascii="Times New Roman" w:hAnsi="Times New Roman" w:cs="Times New Roman"/>
          <w:szCs w:val="22"/>
          <w:lang w:val="en-US" w:eastAsia="zh-CN"/>
        </w:rPr>
        <w:t>) [13]. This formal analysis confirms that transparency alters the public's internal valuation process [13, 15].</w:t>
      </w:r>
    </w:p>
    <w:p w14:paraId="71BCA9FD">
      <w:pPr>
        <w:rPr>
          <w:rFonts w:hint="eastAsia"/>
        </w:rPr>
      </w:pPr>
    </w:p>
    <w:p w14:paraId="6EECFDF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6. Discussion</w:t>
      </w:r>
    </w:p>
    <w:p w14:paraId="7E5CF1F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By synthesizing our qualitative and quantitative data, this paper shifts the empirical analysis of institutional hybridity and stakeholder theory from internal operational dynamics to the critical arena of external public sensemaking [3]. While existing hybrid literature frequently celebrates the blending of market and social logics as an innovative path to organizational scale [4, 6], our findings reveal a more complex reality: the hybrid moral paradox [3]. This paradox illustrates that when an organization explicitly claims a high-ground moral identity, it exposes itself to a protective standard of public evaluation where any perceived overreach into commercial revenue generation triggers swift charges of structural hypocrisy [3, 20].</w:t>
      </w:r>
    </w:p>
    <w:p w14:paraId="77D47E11">
      <w:pPr>
        <w:rPr>
          <w:rFonts w:hint="eastAsia"/>
        </w:rPr>
      </w:pPr>
    </w:p>
    <w:p w14:paraId="42575BB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6.1 Public Orchestration vs. Managerial Gatekeeping</w:t>
      </w:r>
    </w:p>
    <w:p w14:paraId="3411E80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Our research extends stakeholder theory by redefining the role of organizational boundaries within blurred environments [3, 8]. Extant stakeholder scholarship, overwhelmingly anchored in traditional for-profit settings, conceptualizes corporate leaders primarily as gatekeepers [8]. In this conventional view, firm boundaries are assumed to be contractually objective; managers operate at the gate, determining how to strategically engage external stakeholders to maximize corporate sustainability without jeopardizing core economic objectives [8, 9].</w:t>
      </w:r>
    </w:p>
    <w:p w14:paraId="5F17322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In a blurred landscape, however, organizational boundaries become highly subjective, cognitive boundaries enforced by the public's imagination [3]. When social enterprises blend logics, the public does not evaluate them through objective contractual lenses [8]. Instead, they deploy distinct sensemaking strategies—such as particularizing localized closeness [3] or sacred-profane partitioning [18]—to actively construct the moral legitimacy of the enterprise [3]. Consequently, leaders of social ventures cannot act simply as defensive gatekeepers protecting an economic core [6]. Instead, they must operate as systemic orchestrators [22], who actively manage, educate, and align the public's subjective cognitive schemas with the structural architecture of the collective project [3].</w:t>
      </w:r>
    </w:p>
    <w:p w14:paraId="7E0BB829">
      <w:pPr>
        <w:rPr>
          <w:rFonts w:hint="eastAsia"/>
        </w:rPr>
      </w:pPr>
    </w:p>
    <w:p w14:paraId="6D72DCA1">
      <w:pPr>
        <w:rPr>
          <w:rFonts w:hint="eastAsia" w:ascii="Times New Roman" w:hAnsi="Times New Roman" w:cs="Times New Roman"/>
          <w:b/>
          <w:bCs/>
          <w:szCs w:val="22"/>
          <w:lang w:val="en-US" w:eastAsia="zh-CN"/>
        </w:rPr>
      </w:pPr>
      <w:r>
        <w:rPr>
          <w:rFonts w:hint="eastAsia"/>
        </w:rPr>
        <w:t xml:space="preserve"> </w:t>
      </w:r>
      <w:r>
        <w:rPr>
          <w:rFonts w:hint="eastAsia" w:ascii="Times New Roman" w:hAnsi="Times New Roman" w:cs="Times New Roman"/>
          <w:b/>
          <w:bCs/>
          <w:szCs w:val="22"/>
          <w:lang w:val="en-US" w:eastAsia="zh-CN"/>
        </w:rPr>
        <w:t>6.2 Deconstructing the Asymmetry of Baseline Expectations</w:t>
      </w:r>
    </w:p>
    <w:p w14:paraId="056A204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A vital theoretical contribution of our mixed-methods approach lies in deconstructing the asymmetric moral baseline between standard business categories and blended formats. While our quantitative phase manipulated structural variations strictly within a social enterprise vignette, the operational results from Table 1 allow us to trace a profound comparative inference regarding corporate baselines. Traditional corporations operate within an explicit market log; because they never declare a non-economic purpose, they operate under a low moral baseline where profit accumulation is viewed as structurally consistent and expected [20].</w:t>
      </w:r>
    </w:p>
    <w:p w14:paraId="774BBAC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When a hybrid enterprise attempts to step into a sacred domain, it breaks this baseline symmetry. The non-linear surge of perceived hypocrisy in the high-commerciality water condition (</w:t>
      </w:r>
      <m:oMath>
        <m:r>
          <m:rPr>
            <m:sty m:val="p"/>
          </m:rPr>
          <w:rPr>
            <w:rFonts w:hint="eastAsia" w:ascii="Times New Roman" w:hAnsi="Times New Roman" w:cs="Times New Roman"/>
            <w:szCs w:val="22"/>
            <w:lang w:val="en-US" w:eastAsia="zh-CN"/>
          </w:rPr>
          <m:t>M = 4.91</m:t>
        </m:r>
      </m:oMath>
      <w:r>
        <w:rPr>
          <w:rFonts w:hint="eastAsia" w:ascii="Times New Roman" w:hAnsi="Times New Roman" w:cs="Times New Roman"/>
          <w:szCs w:val="22"/>
          <w:lang w:val="en-US" w:eastAsia="zh-CN"/>
        </w:rPr>
        <w:t>) versus the profane consumer spray condition (</w:t>
      </w:r>
      <m:oMath>
        <m:r>
          <m:rPr>
            <m:sty m:val="p"/>
          </m:rPr>
          <w:rPr>
            <w:rFonts w:hint="eastAsia" w:ascii="Times New Roman" w:hAnsi="Times New Roman" w:cs="Times New Roman"/>
            <w:szCs w:val="22"/>
            <w:lang w:val="en-US" w:eastAsia="zh-CN"/>
          </w:rPr>
          <m:t>M = 3.42</m:t>
        </m:r>
      </m:oMath>
      <w:r>
        <w:rPr>
          <w:rFonts w:hint="eastAsia" w:ascii="Times New Roman" w:hAnsi="Times New Roman" w:cs="Times New Roman"/>
          <w:szCs w:val="22"/>
          <w:lang w:val="en-US" w:eastAsia="zh-CN"/>
        </w:rPr>
        <w:t>) proves that the public applies an evaluative deduction. The 3.42 mean in the profane sector mirrors the accepted commercial baseline—citizens recognize the firm as a business selling standard consumer goods. However, the 4.91 score indicates that the inclusion of an explicit moral claim elevates public expectations, setting an unyielding boundary where any market integration is interpreted as a calculated betrayal of altruistic values rather than a standard operational variation [20].</w:t>
      </w:r>
    </w:p>
    <w:p w14:paraId="2C005D8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40814A4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6.3 Dynamic Sensemaking and the Power of Structural Education</w:t>
      </w:r>
    </w:p>
    <w:p w14:paraId="6DD73CE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Crucially, our conditional process mediation analysis illustrates that this public suspicion is not an immutable cognitive barrier [13]. The significant mitigating influence of process-transparent framing proves that public sensemaking is a dynamic, interactive communicative process [12, 15]. When an organization moves beyond superficial moral branding and explicitly engages the public with structural, process-centered education—explaining why commercial revenue is necessary to build permanent independence from volatile philanthropic grant cycles—the evaluator's activated schema shifts [3, 15].</w:t>
      </w:r>
    </w:p>
    <w:p w14:paraId="123D6A8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Through structural education, the commercial mechanism is reframed: it is no longer perceived as an act of moral contamination that compromises altruism [18], but as a sustainable, autonomous engine of social liberation [3, 15]. This finding provides a cognitive foundation for stakeholder engagement, demonstrating that ordinary citizens are entirely capable of integrating complex systemic logic when organizations communicate with structural transparency [9, 15].</w:t>
      </w:r>
    </w:p>
    <w:p w14:paraId="3177231D">
      <w:pPr>
        <w:rPr>
          <w:rFonts w:hint="eastAsia"/>
        </w:rPr>
      </w:pPr>
    </w:p>
    <w:p w14:paraId="2F536DF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7. Implications and Practical Applications</w:t>
      </w:r>
    </w:p>
    <w:p w14:paraId="077C53F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7.1 Theoretical Contributions to Hybridity and Category Theory</w:t>
      </w:r>
    </w:p>
    <w:p w14:paraId="78D692D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This article advances institutional theory and organizational category research by transferring the locus of analytical inquiry from internal managerial governance to external audience decoding [3, 4]. For decades, hybrid organizational research has focused on internal coordination mechanics, mapping how staff manage dual identities or how boards design internal accounting methods to balance social and financial performance [6, 7]. We illustrate that the external cognitive environment is equally complex and fragmented [3].</w:t>
      </w:r>
    </w:p>
    <w:p w14:paraId="5CBA558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Our identification of a sharp, non-linear trust drop-off at total commercial self-sufficiency provides evidence that institutional boundaries operate like cognitive cliffs [13, 17]. Minor adjustments in commercial revenue are tolerated by the public mind [3], but crossing the threshold into full market self-sufficiency triggers an immediate cognitive re-categorization, re-mapping the hybrid entity directly into the self-interested market schema [16, 17].</w:t>
      </w:r>
    </w:p>
    <w:p w14:paraId="0EBB03D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p>
    <w:p w14:paraId="2F86029B">
      <w:pPr>
        <w:rPr>
          <w:rFonts w:hint="eastAsia" w:ascii="Times New Roman" w:hAnsi="Times New Roman" w:cs="Times New Roman"/>
          <w:b/>
          <w:bCs/>
          <w:szCs w:val="22"/>
          <w:lang w:val="en-US" w:eastAsia="zh-CN"/>
        </w:rPr>
      </w:pPr>
      <w:r>
        <w:rPr>
          <w:rFonts w:hint="eastAsia"/>
        </w:rPr>
        <w:t xml:space="preserve"> </w:t>
      </w:r>
      <w:r>
        <w:rPr>
          <w:rFonts w:hint="eastAsia" w:ascii="Times New Roman" w:hAnsi="Times New Roman" w:cs="Times New Roman"/>
          <w:b/>
          <w:bCs/>
          <w:szCs w:val="22"/>
          <w:lang w:val="en-US" w:eastAsia="zh-CN"/>
        </w:rPr>
        <w:t>7.2 Strategic Implications for Social Entrepreneurs and Founders</w:t>
      </w:r>
    </w:p>
    <w:p w14:paraId="0B55C49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For practitioners, founders, and marketing executives navigating the realities of sector blurring, our empirical results offer immediate strategic guidance [3]:</w:t>
      </w:r>
    </w:p>
    <w:p w14:paraId="7B956FD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 Insulate Sacred Domains from High Commerciality: Founders operating within high-sanctity spaces—such as direct healthcare, child preservation, or clean water access—must recognize that they face a strict moral standard [19]. These high-sanctity ventures should deliberately avoid moving toward 100 % commercial revenue models. Instead, they should maintain a visible blend of philanthropic or subsidized inputs (e.g., a baseline of 30 % grant funding) to signal structural alignment with the public's altruistic schema and protect themselves from charges of hypocrisy [3, 20].</w:t>
      </w:r>
    </w:p>
    <w:p w14:paraId="355735D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 Implement Process-Centered Marketing: Marketing departments within social ventures must move away from shallow, outcome-centric emotional slogans [15]. True reputational resilience requires process-centered storytelling [3]. Communication campaigns must openly share the operational architecture of the enterprise, educating the consumer on why a commercial revenue engine is structurally superior to the volatile, inefficient dependencies that characterize traditional charity [15].</w:t>
      </w:r>
    </w:p>
    <w:p w14:paraId="22DEE4C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 Establish Transparent Governance Caps: To effectively counter the default asymmetry of suspicion [20], commercial social enterprises should implement explicit, publicly audited governance caps—such as mandatory caps on executive compensation ratios and strict limitations on private investor dividend distributions. By publicizing these structural constraints, the firm provides verifiable evidence that its commercial engine is genuinely subordinated to its social mission [7], defusing the "hypocrisy detector" of cynical consumers [3, 20].</w:t>
      </w:r>
    </w:p>
    <w:p w14:paraId="03E1E861">
      <w:pPr>
        <w:rPr>
          <w:rFonts w:hint="eastAsia"/>
        </w:rPr>
      </w:pPr>
    </w:p>
    <w:p w14:paraId="616B564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8. Limitations and Future Research</w:t>
      </w:r>
    </w:p>
    <w:p w14:paraId="1693C89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While our sequential mixed-methods design offers robust empirical insights [14], several boundary conditions present valuable opportunities for future scholarly inquiry. First, our experimental sample was restricted to the socio-cultural context of the United States. Cultural schemas regarding the legitimate scope of competitive markets and state-funded welfare vary dramatically across international boundaries [4]. In social-democratic European nations, where the state is culturally expected to maintain a comprehensive safety net for basic human needs, public skepticism toward commercialized social ventures may be even more acute [3]. Conversely, in emerging economies characterized by systemic state gaps, the public may view market-driven social solutions with greater structural pragmatism. Future scholarship should deploy cross-national comparative designs to isolate these macro-cultural boundaries.</w:t>
      </w:r>
    </w:p>
    <w:p w14:paraId="3C6B738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Second, our experimental vignette captured immediate, short-term public cognitive reactions to organizational descriptions; it did not track how public trust repairs or degrades over a multi-year horizon as a social brand matures [13]. Future research should implement longitudinal tracking studies of real-world hybrid ventures navigating market expansions or ownership shifts (e.g., when a certified B-Corp is acquired by a traditional multinational conglomerate) to evaluate the long-term evolution of hybrid legitimacy [6].</w:t>
      </w:r>
    </w:p>
    <w:p w14:paraId="1FE0F0A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Final exploration should investigate how generational cohorts intersect with these moral boundaries. While preliminary demographic data suggest that younger generations may show greater cognitive flexibility toward market hybridity, they simultaneously enforce a much higher demand for operational transparency [15]. Deconstructing these shifting generational dynamics will be essential as sector blurring continues to reshape the landscape of business and society [1, 4].</w:t>
      </w:r>
    </w:p>
    <w:p w14:paraId="2BEEAB19">
      <w:pPr>
        <w:rPr>
          <w:rFonts w:hint="eastAsia"/>
        </w:rPr>
      </w:pPr>
    </w:p>
    <w:p w14:paraId="3F8D069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9. Conclusion</w:t>
      </w:r>
    </w:p>
    <w:p w14:paraId="4505FD0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The rise of alternative organizational forms like social enterprises represents a major institutional experiment, attempting to harness the scale, speed, and competitive discipline of the marketplace to address the most entrenched social and environmental crises of our time [1, 4]. However, as this study demonstrates, blending profit and purpose is not merely an administrative challenge; it is a profound disruption of the socio-cultural maps that the public utilizes to navigate the moral universe [18]. Ordinary citizens guard the boundaries separating the sacred domain of human welfare from the profane logic of monetary capital [18, 19]. When an organization attempts to straddle both worlds, it faces an immediate asymmetry of suspicion [3, 20].</w:t>
      </w:r>
    </w:p>
    <w:p w14:paraId="3E36BAE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Our mixed-methods findings demonstrate that this cognitive friction can be successfully managed [14]. The public does not completely reject organizational hybridity; rather, they demand an authentic, transparent account of its structural rationale [3]. Social enterprises can escape the hybrid moral paradox by abandoning superficial emotional branding in favor of deep process transparency [15]. Ultimately, if sector blurring is to achieve its potential for sustainable social impact, organizations must learn to communicate across cognitive boundaries as effectively as they cross them [3], earning not just the consumer's wallet, but their moral trust [13].</w:t>
      </w:r>
    </w:p>
    <w:p w14:paraId="5486EFDA">
      <w:pPr>
        <w:rPr>
          <w:rFonts w:hint="eastAsia"/>
        </w:rPr>
      </w:pPr>
    </w:p>
    <w:p w14:paraId="42A0F39A">
      <w:pPr>
        <w:ind w:left="0" w:leftChars="0" w:firstLine="0" w:firstLineChars="0"/>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 xml:space="preserve"> References</w:t>
      </w:r>
    </w:p>
    <w:p w14:paraId="4C2B4516">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 Pereira, W., Missio, F., &amp; Jayme, F. (2024). Structural Change in the 21st Century: The Role of the Modern Services Sector in the Economic Development Strategy.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Review of Political Economy, 1–25. https://doi.org/10.1080/09538259.2024.2342431</w:t>
      </w:r>
      <w:r>
        <w:rPr>
          <w:rFonts w:hint="eastAsia" w:ascii="Times New Roman" w:hAnsi="Times New Roman" w:cs="Times New Roman" w:eastAsiaTheme="minorEastAsia"/>
          <w:kern w:val="2"/>
          <w:sz w:val="20"/>
          <w:szCs w:val="22"/>
          <w:lang w:val="en-US" w:eastAsia="zh-CN" w:bidi="ar-SA"/>
        </w:rPr>
        <w:t>.</w:t>
      </w:r>
    </w:p>
    <w:p w14:paraId="1B964DD7">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[2] Piketty, T. (2025). Capital in the 21st Century, Ten Years Later.</w:t>
      </w:r>
    </w:p>
    <w:p w14:paraId="0C4321DD">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[3] Radoynovska, N. (2025). Expectations meet reality: Leader sensemaking and enactment of stakeholder engagement in multistakeholder social enterprises.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Business &amp; Society,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64(6), 1185-1228.</w:t>
      </w:r>
    </w:p>
    <w:p w14:paraId="610895D1">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[4] Battilana, J. , &amp; Lee, M. . (2014). Advancing research on hybrid organizing – insights from the study of social enterprises.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Academy of Management Annals,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8(1), 397-441.</w:t>
      </w:r>
    </w:p>
    <w:p w14:paraId="10126C22">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[5] Mair, J. , &amp; Marti, I. . (2006). Social entrepreneurship research: a source of explanation, prediction, and delight.</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Journal of World Business,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41(1), 36-44.</w:t>
      </w:r>
    </w:p>
    <w:p w14:paraId="3E64E007">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[6] Ebrahim, A. , Battilana, J. , &amp; Mair, J. . (2014). The governance of social enterprises: mission drift and accountability challenges in hybrid organizations.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Research in Organizational Behavior,</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34, 81-100.</w:t>
      </w:r>
    </w:p>
    <w:p w14:paraId="4C27729C">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[7] Smith, W. K. , &amp; Besharov, M. L. . (2017). Bowing before dual gods: how structured flexibility sustains organizational hybridity.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Administrative ence Quarterly,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64(1), 1-44.</w:t>
      </w:r>
      <w:r>
        <w:rPr>
          <w:rFonts w:hint="eastAsia" w:ascii="Times New Roman" w:hAnsi="Times New Roman" w:cs="Times New Roman" w:eastAsiaTheme="minorEastAsia"/>
          <w:kern w:val="2"/>
          <w:sz w:val="20"/>
          <w:szCs w:val="22"/>
          <w:lang w:val="en-US" w:eastAsia="zh-CN" w:bidi="ar-SA"/>
        </w:rPr>
        <w:t>.</w:t>
      </w:r>
    </w:p>
    <w:p w14:paraId="56DB7A1A">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[8] Donaldson, T. , &amp; Preston, L. E. . (1995). The stakeholder theory of the corporation: concepts, evidence, and implications.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The Academy of Management Review,</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20(1).</w:t>
      </w:r>
    </w:p>
    <w:p w14:paraId="05FB1B53">
      <w:pPr>
        <w:rPr>
          <w:rFonts w:hint="default"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[9] Kujala, J. , Sachs, S. , Leinonen, H. , Heikkinen, A. , &amp; Laude, D. . (2022). Stakeholder engagement: past, present, and future:.</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Business &amp; Society,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61(5), 1136-1196.</w:t>
      </w:r>
    </w:p>
    <w:p w14:paraId="31C72A6B">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[10] Greenwood, M. . (2007). Stakeholder engagement: beyond the myth of corporate responsibility.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Journal of Business Ethics,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74(4), 315-327.</w:t>
      </w:r>
    </w:p>
    <w:p w14:paraId="7B0D0CB8">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[11] Winkler, A. P. , Brown, J. A. , &amp; Finegold, D. L. . (2018). Employees as conduits for effective stakeholder engagement: an example from b corporations.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Journal of Business Ethics, 1-24.</w:t>
      </w:r>
    </w:p>
    <w:p w14:paraId="004D3304">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[12] Weick, K. E. . (1998). Sensemaking in organizations.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Administrative Science Quarterly,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43(1), 205-208.</w:t>
      </w:r>
    </w:p>
    <w:p w14:paraId="3D5BDBA3">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[13] Šimůnková, Klára. (2019). Being hybrid: a conceptual update of consumer self and consumption due to online/offline hybridity.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Journal of Marketing Management, 1-35.</w:t>
      </w:r>
    </w:p>
    <w:p w14:paraId="20F7A07D">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[14] Perreault, K. . (2011). Research design: qualitative, quantitative, and mixed methods approaches.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Manual Therapy.</w:t>
      </w:r>
    </w:p>
    <w:p w14:paraId="6958064A">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[15] Kingston, K. . (2020). Toward dialogic accounting? public accountants' assistance to works councils a tool between hope and illusion / when democratic principles are not enough: tensions and temporalities of dialogic stakeholder engagement / bringing the ugly back: a dialogic exploration of ethics in leadership through an ethno-narrative re-reading of the enron case.</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Social and Environmental Accountability Journal,</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40.</w:t>
      </w:r>
    </w:p>
    <w:p w14:paraId="4C4680A7">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[16] Glynn, M. A. . (2013). Patricia thornton, william ocasio, and michael lounsbury: the institutional logics perspective: a new approach to culture, structure, and process.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Administrative Science Quarterly,</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58(3), 493-495.</w:t>
      </w:r>
    </w:p>
    <w:p w14:paraId="62AC2733">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[17] Logue, D., &amp; Grimes, M. G. (2022). Living up to the hype: How new ventures manage the resource and liability of future-oriented visions within the nascent market of impact investing. Academy of Management Journal, 65(4), 1055-1082.</w:t>
      </w:r>
    </w:p>
    <w:p w14:paraId="2D469795">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[18] Steiner, P. , &amp; Zelizer, V. A. . (1999). The social meaning of money: pin money, paychecks, poor relief, and other currencies.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Revue Franaise De Sociologie,</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38(2), 387.</w:t>
      </w:r>
    </w:p>
    <w:p w14:paraId="1D39081B">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[19] Giesler, M., &amp; Veresiu, E. (2014). Creating the responsible consumer: Moral expectations and sacred-profane boundaries in market-driven problem solving. Journal of Consumer Research, 41(3), 840-857.</w:t>
      </w:r>
    </w:p>
    <w:p w14:paraId="17FB1813">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[20] Wagner, T., Lutz, R. J., &amp; Weitz, B. A. (2009). Corporate hypocrisy: Overcoming the threat of inconsistent corporate social responsibility perceptions.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Journal of marketing,</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73(6), 77-91</w:t>
      </w:r>
      <w:r>
        <w:rPr>
          <w:rFonts w:hint="eastAsia" w:ascii="Times New Roman" w:hAnsi="Times New Roman" w:cs="Times New Roman" w:eastAsiaTheme="minorEastAsia"/>
          <w:kern w:val="2"/>
          <w:sz w:val="20"/>
          <w:szCs w:val="22"/>
          <w:lang w:val="en-US" w:eastAsia="zh-CN" w:bidi="ar-SA"/>
        </w:rPr>
        <w:t>.</w:t>
      </w:r>
    </w:p>
    <w:p w14:paraId="1379A4CE">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[21] Strauss, A., &amp; Corbin, J. (1998). Basics of qualitative research: Procedures and techniques for developing grounded theory.</w:t>
      </w:r>
    </w:p>
    <w:p w14:paraId="6842A0C2">
      <w:pPr>
        <w:rPr>
          <w:rFonts w:hint="eastAsia" w:ascii="Times New Roman" w:hAnsi="Times New Roman" w:cs="Times New Roman" w:eastAsiaTheme="minorEastAsia"/>
          <w:kern w:val="2"/>
          <w:sz w:val="20"/>
          <w:szCs w:val="22"/>
          <w:lang w:val="en-US" w:eastAsia="zh-CN" w:bidi="ar-SA"/>
        </w:rPr>
      </w:pPr>
      <w:r>
        <w:rPr>
          <w:rFonts w:hint="eastAsia" w:ascii="Times New Roman" w:hAnsi="Times New Roman" w:cs="Times New Roman" w:eastAsiaTheme="minorEastAsia"/>
          <w:kern w:val="2"/>
          <w:sz w:val="20"/>
          <w:szCs w:val="22"/>
          <w:lang w:val="en-US" w:eastAsia="zh-CN" w:bidi="ar-SA"/>
        </w:rPr>
        <w:t xml:space="preserve"> [22] </w:t>
      </w:r>
      <w:r>
        <w:rPr>
          <w:rFonts w:hint="default" w:ascii="Times New Roman" w:hAnsi="Times New Roman" w:cs="Times New Roman" w:eastAsiaTheme="minorEastAsia"/>
          <w:kern w:val="2"/>
          <w:sz w:val="20"/>
          <w:szCs w:val="22"/>
          <w:lang w:val="en-US" w:eastAsia="zh-CN" w:bidi="ar-SA"/>
        </w:rPr>
        <w:t>Maak, T. . (2007). Responsible leadership, stakeholder engagement, and the emergence of social capital.</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Journal of Business Ethics,</w:t>
      </w:r>
      <w:r>
        <w:rPr>
          <w:rFonts w:hint="eastAsia" w:ascii="Times New Roman" w:hAnsi="Times New Roman" w:cs="Times New Roman"/>
          <w:kern w:val="2"/>
          <w:sz w:val="20"/>
          <w:szCs w:val="22"/>
          <w:lang w:val="en-US" w:eastAsia="zh-CN" w:bidi="ar-SA"/>
        </w:rPr>
        <w:t xml:space="preserve"> </w:t>
      </w:r>
      <w:r>
        <w:rPr>
          <w:rFonts w:hint="default" w:ascii="Times New Roman" w:hAnsi="Times New Roman" w:cs="Times New Roman" w:eastAsiaTheme="minorEastAsia"/>
          <w:kern w:val="2"/>
          <w:sz w:val="20"/>
          <w:szCs w:val="22"/>
          <w:lang w:val="en-US" w:eastAsia="zh-CN" w:bidi="ar-SA"/>
        </w:rPr>
        <w:t>74(4), 329-343.</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617CF"/>
    <w:rsid w:val="0260027E"/>
    <w:rsid w:val="09374F47"/>
    <w:rsid w:val="0D9856CF"/>
    <w:rsid w:val="19BA50B5"/>
    <w:rsid w:val="1B001BC9"/>
    <w:rsid w:val="1B1617CF"/>
    <w:rsid w:val="2EF709DE"/>
    <w:rsid w:val="314A1AEA"/>
    <w:rsid w:val="343273C3"/>
    <w:rsid w:val="51542159"/>
    <w:rsid w:val="56C91D79"/>
    <w:rsid w:val="79DD0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 w:type="paragraph" w:customStyle="1" w:styleId="8">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mbria" w:hAnsi="Cambria" w:cs="Cambria" w:eastAsiaTheme="minorEastAsia"/>
      <w:kern w:val="2"/>
      <w:sz w:val="2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657119C-6982-421D-8BA7-E74DEB70A7D9-1">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d01EQWxNa01sTWpKemFHOTNSM0pwWkNVeU1pVXpRWFJ5ZFdVbE1rTWxNakp5YVdOb1ZHVjRkQ1V5TWlVelFYUnlkV1VsTWtNbE1qSm9aV2xuYUhRbE1qSWxNMEV4TURBd0pUZEVKVEpESlRJeVpXeGxiV1Z1ZEhNbE1qSWxNMEVsTjBJbE1qSkhhMHRoUms1VWVubHVPREExTkRJNUpUSXlKVE5CSlRkQ0pUSXlhV1FsTWpJbE0wRWxNakpIYTB0aFJrNVVlbmx1T0RBMU5ESTV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tRldTMVZrYkUxVFYwMDVORFEwTURBbE1qSWxOMFFsTWtNbE4wSWxNakp1WVcxbEpUSXlKVE5CSlRJeUpVVTFKVGt3SlRoRUpVVTNKVUUzSlVJd0pUSXlKVEpESlRJeWRIbHdaU1V5TWlVelFTVXlNbk4wY21sdVp5VXlNaVV5UXlVeU1uWmhiSFZsSlRJeUpUTkJKVEl5SlRJeUpUSkRKVEl5WTJGMFpXZHZjbmtsTWpJbE0wRWxNakprWldaaGRXeDBKVEl5SlRKREpUSXlhV1FsTWpJbE0wRWxNakpEYkc1MFdtRlpXa3BETVRnM01ERTR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Um05eWJYVnNZWFJsSlRJd1ltRnpaV3hwYm1VbE1qQnhkV1Z5YVdWekpUSXdiMjRsTWpCaWIzVnVaR0Z5ZVNVeU1HaDVZbkpwWkdsMGV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aaFJrZHZjbGhrZGxZeU5UVXdNellsTWpJbE0wRWxOMElsTWpKcFpDVXlNaVV6UVNVeU1tWmhSa2R2Y2xoa2RsWXlOVFV3TXpZ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WtWdVFtOUliR1JIZFRNME1qTTNNeVV5TWlVM1JDVXlReVUzUWlVeU1tNWhiV1VsTWpJbE0wRWxNaklsUlRVbE9UQWxPRVFsUlRjbFFUY2xRakFsTWpJbE1rTWxNakowZVhCbEpUSXlKVE5CSlRJeWMzUnlhVzVuSlRJeUpUSkRKVEl5ZG1Gc2RXVWxNaklsTTBFbE1qSWxNaklsTWtNbE1qSmpZWFJsWjI5eWVTVXlNaVV6UVNVeU1tUmxabUYxYkhRbE1qSWxNa01sTWpKcFpDVXlNaVV6UVNVeU1tNVVibTlZZW1GV1QwMDJNVFE0TkRJ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hNQ1V5UXlVeU1ua2xNaklsTTBFd0pUSkRKVEl5ZHlVeU1pVXpRU1V5TW5jdE1qQWxNaklsTWtNbE1qSm9KVEl5SlROQkpUSXlhQ1V5TWlVM1JDVXlReVV5TW5SbGVIUWxNaklsTTBFbE1qSlFhR0Z6WlNVeU1ERWxNMEVsTWpCSmJtbDBhV0ZzSlRJd1NXNTBaWEpsYzN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VMxTnphVnBwU0dOSFNqTXdNREEyTlNVeU1pVTNSQ1V5UXlVM1FpVXlNbTVoYldVbE1qSWxNMEVsTWpJbFJUVWxPVEFsT0VRbFJUY2xRVGNsUWpBbE1qSWxNa01sTWpKMGVYQmxKVEl5SlROQkpUSXljM1J5YVc1bkpUSXlKVEpESlRJeWRtRnNkV1VsTWpJbE0wRWxNaklsTWpJbE1rTWxNakpqWVhSbFoyOXllU1V5TWlVelFTVXlNbVJsWm1GMWJIUWxNaklsTWtNbE1qSnBaQ1V5TWlVelFTVXlNbFZFYmxSeWMxVmlTV1ExTmpnMk1qa2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VUdoaGMyVWxNakF5SlROQkpUSXdUM0JsYmlVeU1FTnZaR2x1Wn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a3B2VkcxSmQwaFZlbm96TlRneE5UUWxNaklsTTBFbE4wSWxNakpwWkNVeU1pVXpRU1V5TWtwdlZHMUpkMGhWZW5vek5UZ3hOVFF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WazVEWW5wVFpXaFhWRFUzTnpBMk15VXlNaVUzUkNVeVF5VTNRaVV5TW01aGJXVWxNaklsTTBFbE1qSWxSVFVsT1RBbE9FUWxSVGNsUVRjbFFqQWxNaklsTWtNbE1qSjBlWEJsSlRJeUpUTkJKVEl5YzNSeWFXNW5KVEl5SlRKREpUSXlkbUZzZFdVbE1qSWxNMEVsTWpJbE1qSWxNa01sTWpKallYUmxaMjl5ZVNVeU1pVXpRU1V5TW1SbFptRjFiSFFsTWpJbE1rTWxNakpwWkNVeU1pVXpRU1V5TWt4NWNVeHdUVmxNUjJneU1USTNNVFF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VJYaDBjbUZqZEdsdmJpVXlNRzltSlRJd2NtRjNKVEl3Y0dGeWRHbGphWEJoYm5RbE1qQjJiMk5oWW5Wc1lYSnBaWE1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mtZM0pYVEVkSWEzVkRNelUwTXpRNEpUSXlKVE5CSlRkQ0pUSXlhV1FsTWpJbE0wRWxNakprWTNKWFRFZElhM1ZETXpVME16UTR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uaFBkVUZ1V0c5RVQwd3dPRGN3TVRnbE1qSWxOMFFsTWtNbE4wSWxNakp1WVcxbEpUSXlKVE5CSlRJeUpVVTFKVGt3SlRoRUpVVTNKVUUzSlVJd0pUSXlKVEpESlRJeWRIbHdaU1V5TWlVelFTVXlNbk4wY21sdVp5VXlNaVV5UXlVeU1uWmhiSFZsSlRJeUpUTkJKVEl5SlRJeUpUSkRKVEl5WTJGMFpXZHZjbmtsTWpJbE0wRWxNakprWldaaGRXeDBKVEl5SlRKREpUSXlhV1FsTWpJbE0wRWxNakp5ZGtWNGMydDZjMUp5T0RjeU1EYzJ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xCb1lYTmxKVEl3TXlVelFTVXlNRUY0YVdGc0pUSXdRMngxYzNSbGNp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xGc1VXdFliazVZU2xjd016a3lPVEFsTWpJbE0wRWxOMElsTWpKcFpDVXlNaVV6UVNVeU1sRnNVV3RZYms1WVNsY3dNemt5T1RB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Y21Od1YxRmxRWFZtYkRNMk9ERXpNU1V5TWlVM1JDVXlReVUzUWlVeU1tNWhiV1VsTWpJbE0wRWxNaklsUlRVbE9UQWxPRVFsUlRjbFFUY2xRakFsTWpJbE1rTWxNakowZVhCbEpUSXlKVE5CSlRJeWMzUnlhVzVuSlRJeUpUSkRKVEl5ZG1Gc2RXVWxNaklsTTBFbE1qSWxNaklsTWtNbE1qSmpZWFJsWjI5eWVTVXlNaVV6UVNVeU1tUmxabUYxYkhRbE1qSWxNa01sTWpKcFpDVXlNaVV6UVNVeU1raGFUbFJrY2tOTlJXczJNekF6Tmpr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VR2hoYzJVbE1qQTBKVE5CSlRJd1RHOW5hV01sTWpCSmJuUmxaM0poZEdsdmJp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1obFZXRktXa3hWV0VjME5qQXhNalVsTWpJbE0wRWxOMElsTWpKcFpDVXlNaVV6UVNVeU1taGxWV0ZLV2t4VldFYzBOakF4TWpVbE1qSWxNa01sTWpKdVlXMWxKVEl5SlROQkpUSXljbVZqZEdGdVoyeGxKVEl5SlRKREpUSXlkR2wwYkdVbE1qSWxNMEVsTWpJbFJUY2xPVVlsUVRrbFJUVWxRa1FsUVRJbE1qSWxNa01sTWpKallYUmxaMjl5ZVNVeU1pVXpRU1V5TW1KaGMybGp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UzJsUWVrNUdUSEZaZVRRMk9USTJNeVV5TWlVelFTVTNRaVV5TW1sa0pUSXlKVE5CSlRJeVMybFFlazVHVEhGWmVUUTJPVEkyTXlVeU1pVXlReVV5TW01aGJXVWxNaklsTTBFbE1qSnlaV04wWVc1bmJHVWxNaklsTWtNbE1qSjBhWFJzWlNVeU1pVXpRU1V5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oyZDNsdmFtWnVZbmRVTlRFME56WTBKVEl5SlRkRUpUSkRKVGRDSlRJeWJtRnRaU1V5TWlVelFTVXlNaVZGTlNVNU1DVTRSQ1ZGTnlWQk55VkNNQ1V5TWlVeVF5VXlNblI1Y0dVbE1qSWxNMEVsTWpKemRISnBibWNsTWpJbE1rTWxNakoyWVd4MVpTVXlNaVV6UVNVeU1pVXlNaVV5UXlVeU1tTmhkR1ZuYjNKNUpUSXlKVE5CSlRJeVpHVm1ZWFZzZENVeU1pVXlReVV5TW1sa0pUSXlKVE5CSlRJeVVHdEtlazV1YkZaVFZqRXlPREEyTWl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hNQ1V5UXlVeU1ua2xNaklsTTBFd0pUSkRKVEl5ZHlVeU1pVXpRU1V5TW5jdE1qQWxNaklsTWtNbE1qSm9KVEl5SlROQkpUSXlhQ1V5TWlVM1JDVXlReVV5TW5SbGVIUWxNaklsTTBFbE1qSk5aWEpuYVc1bkpUSXdZMnh2YzJVbE1qQmpiMlJsY3lVeU1HbHVkRzhsTWpCaGVHbGhiQ1V5TUhSb1pXMWhkR2xqSlRJd2FYUmxiWE1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npTMlpRVEV4d1QxcHBNamd4TWprekpUSXlKVE5CSlRkQ0pUSXlhV1FsTWpJbE0wRWxNakp6UzJaUVRFeHdUMXBwTWpneE1qa3p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SkllRVp0WW5GT2NFUTNOVEl5TURjbE1qSWxOMFFsTWtNbE4wSWxNakp1WVcxbEpUSXlKVE5CSlRJeUpVVTFKVGt3SlRoRUpVVTNKVUUzSlVJd0pUSXlKVEpESlRJeWRIbHdaU1V5TWlVelFTVXlNbk4wY21sdVp5VXlNaVV5UXlVeU1uWmhiSFZsSlRJeUpUTkJKVEl5SlRJeUpUSkRKVEl5WTJGMFpXZHZjbmtsTWpJbE0wRWxNakprWldaaGRXeDBKVEl5SlRKREpUSXlhV1FsTWpJbE0wRWxNakpoVUdsMVVFVjJaV3BzTURBd01EVTF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eE1DVXlReVV5TW5rbE1qSWxNMEV3SlRKREpUSXlkeVV5TWlVelFTVXlNbmN0TWpBbE1qSWxNa01sTWpKb0pUSXlKVE5CSlRJeWFDVXlNaVUzUkNVeVF5VXlNblJsZUhRbE1qSWxNMEVsTWpKQmJHbG5ibWx1WnlVeU1IUm9aVzFoZEdsakpUSXdkbVZqZEc5eWN5VXlNSGRwZEdnbE1qQnpaVzV6WlcxaGEybHVaeVV5TUhSb1pXOXll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tOU5WVVpSV21WeWMwZzBPVFkyTkRZbE1qSWxNMEVsTjBJbE1qSnBaQ1V5TWlVelFTVXlNbTlOVlVaUldtVnljMGcwT1RZMk5EW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QwbFJXSEpvVjBsMGRqRTJOVGMzTWlVeU1pVTNSQ1V5UXlVM1FpVXlNbTVoYldVbE1qSWxNMEVsTWpJbFJUVWxPVEFsT0VRbFJUY2xRVGNsUWpBbE1qSWxNa01sTWpKMGVYQmxKVEl5SlROQkpUSXljM1J5YVc1bkpUSXlKVEpESlRJeWRtRnNkV1VsTWpJbE0wRWxNaklsTWpJbE1rTWxNakpqWVhSbFoyOXllU1V5TWlVelFTVXlNbVJsWm1GMWJIUWxNaklsTWtNbE1qSnBaQ1V5TWlVelFTVXlNa1JFZWxKaFVrSlVRMk0zTkRZM016T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tKMWFXeGthVzVuSlRJd2MzUnlkV04wZFhKaGJDVXlNSFJoZUc5dWIyMTVKVEl3S0ZSaFlteGxKVEl3TVNVeU1FMWhkSEpwZUN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2036</Words>
  <Characters>13087</Characters>
  <Lines>0</Lines>
  <Paragraphs>0</Paragraphs>
  <TotalTime>1</TotalTime>
  <ScaleCrop>false</ScaleCrop>
  <LinksUpToDate>false</LinksUpToDate>
  <CharactersWithSpaces>15072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2026-06-09T07:02:00Z</dcterms:created>
  <dc:creator>anser</dc:creator>
  <cp:lastModifiedBy>岳岳</cp:lastModifiedBy>
  <dcterms:modified xsi:type="dcterms:W3CDTF">2026-06-15T05:33:18Z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3F2D75FA3675430EA3E4879B515E5D3A_13</vt:lpwstr>
  </property>
  <property fmtid="{D5CDD505-2E9C-101B-9397-08002B2CF9AE}" pid="4" name="KSOTemplateDocerSaveRecord">
    <vt:lpwstr>eyJoZGlkIjoiNjgyYmUwMmM0M2YzZjE5ZmZiNTU2ZDYzMjg2ZjRjYjYiLCJ1c2VySWQiOiIzNDM3Nzk4NjIifQ==</vt:lpwstr>
  </property>
</Properties>
</file>